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569D8" w14:textId="6CC18772" w:rsidR="00234A4E" w:rsidRPr="00965AAA" w:rsidRDefault="000C3ACD">
      <w:pPr>
        <w:rPr>
          <w:rFonts w:cstheme="minorHAnsi"/>
          <w:b/>
          <w:bCs/>
        </w:rPr>
      </w:pPr>
      <w:r w:rsidRPr="00965AAA">
        <w:rPr>
          <w:rFonts w:cstheme="minorHAnsi"/>
          <w:b/>
          <w:bCs/>
        </w:rPr>
        <w:t>Discerning the Body: Communion and Community in a time of Coronavirus</w:t>
      </w:r>
      <w:r w:rsidR="000010F3" w:rsidRPr="00965AAA">
        <w:rPr>
          <w:rFonts w:cstheme="minorHAnsi"/>
          <w:b/>
          <w:bCs/>
        </w:rPr>
        <w:t>.</w:t>
      </w:r>
    </w:p>
    <w:p w14:paraId="1FDA1594" w14:textId="386809F2" w:rsidR="000010F3" w:rsidRPr="00965AAA" w:rsidRDefault="00D179F6">
      <w:pPr>
        <w:rPr>
          <w:rFonts w:cstheme="minorHAnsi"/>
        </w:rPr>
      </w:pPr>
      <w:r w:rsidRPr="00965AAA">
        <w:rPr>
          <w:rFonts w:cstheme="minorHAnsi"/>
        </w:rPr>
        <w:t xml:space="preserve">Revd Canon Prof </w:t>
      </w:r>
      <w:r w:rsidR="000010F3" w:rsidRPr="00965AAA">
        <w:rPr>
          <w:rFonts w:cstheme="minorHAnsi"/>
        </w:rPr>
        <w:t>Loveday Alexander</w:t>
      </w:r>
    </w:p>
    <w:p w14:paraId="0A526D3F" w14:textId="3E8F7A94" w:rsidR="00D179F6" w:rsidRPr="00965AAA" w:rsidRDefault="001B28E6">
      <w:pPr>
        <w:rPr>
          <w:rFonts w:cstheme="minorHAnsi"/>
        </w:rPr>
      </w:pPr>
      <w:hyperlink r:id="rId7" w:history="1">
        <w:r w:rsidR="00D179F6" w:rsidRPr="00965AAA">
          <w:rPr>
            <w:rStyle w:val="Hyperlink"/>
            <w:rFonts w:cstheme="minorHAnsi"/>
          </w:rPr>
          <w:t>l.c.alexander@sheffield.ac.uk</w:t>
        </w:r>
      </w:hyperlink>
    </w:p>
    <w:p w14:paraId="77376F9D" w14:textId="2768107C" w:rsidR="00B2290C" w:rsidRPr="00965AAA" w:rsidRDefault="000C3ACD">
      <w:pPr>
        <w:rPr>
          <w:rFonts w:cstheme="minorHAnsi"/>
        </w:rPr>
      </w:pPr>
      <w:r w:rsidRPr="00965AAA">
        <w:rPr>
          <w:rFonts w:cstheme="minorHAnsi"/>
        </w:rPr>
        <w:t>Oct 26</w:t>
      </w:r>
      <w:r w:rsidR="00B2290C" w:rsidRPr="00965AAA">
        <w:rPr>
          <w:rFonts w:cstheme="minorHAnsi"/>
          <w:vertAlign w:val="superscript"/>
        </w:rPr>
        <w:t>th</w:t>
      </w:r>
      <w:proofErr w:type="gramStart"/>
      <w:r w:rsidR="00B2290C" w:rsidRPr="00965AAA">
        <w:rPr>
          <w:rFonts w:cstheme="minorHAnsi"/>
        </w:rPr>
        <w:t xml:space="preserve"> 2020</w:t>
      </w:r>
      <w:proofErr w:type="gramEnd"/>
    </w:p>
    <w:p w14:paraId="7E5E22B8" w14:textId="215E661F" w:rsidR="00B2290C" w:rsidRPr="00965AAA" w:rsidRDefault="00992F38" w:rsidP="00992F38">
      <w:pPr>
        <w:spacing w:before="100" w:beforeAutospacing="1" w:after="100" w:afterAutospacing="1"/>
        <w:rPr>
          <w:rFonts w:eastAsia="Times New Roman" w:cstheme="minorHAnsi"/>
          <w:lang w:eastAsia="en-GB"/>
        </w:rPr>
      </w:pPr>
      <w:r w:rsidRPr="00965AAA">
        <w:rPr>
          <w:rFonts w:eastAsia="Times New Roman" w:cstheme="minorHAnsi"/>
          <w:b/>
          <w:bCs/>
          <w:lang w:eastAsia="en-GB"/>
        </w:rPr>
        <w:t>The Administration and Reception of Holy Communion</w:t>
      </w:r>
    </w:p>
    <w:p w14:paraId="0CA696EF" w14:textId="3132D1DC" w:rsidR="00992F38" w:rsidRPr="00965AAA" w:rsidRDefault="00992F38" w:rsidP="00C202C6">
      <w:pPr>
        <w:rPr>
          <w:rFonts w:cstheme="minorHAnsi"/>
        </w:rPr>
      </w:pPr>
      <w:r w:rsidRPr="00965AAA">
        <w:rPr>
          <w:rFonts w:eastAsia="Times New Roman" w:cstheme="minorHAnsi"/>
          <w:i/>
          <w:iCs/>
          <w:lang w:eastAsia="en-GB"/>
        </w:rPr>
        <w:t xml:space="preserve">§12. If Holy Communion is received by the people of God in one kind only for a significant period of time, it will be important to acknowledge this change with some positive theological teaching. Equally, if some alternative to ‘one cup’ is adopted, the theological basis for this will need to be expounded. </w:t>
      </w:r>
      <w:r w:rsidR="00C202C6" w:rsidRPr="00965AAA">
        <w:rPr>
          <w:rFonts w:cstheme="minorHAnsi"/>
        </w:rPr>
        <w:t xml:space="preserve">How can we make theological sense of ‘the present necessity’? What biblical resources can we draw on? </w:t>
      </w:r>
    </w:p>
    <w:p w14:paraId="534F41A1" w14:textId="2DF0303C" w:rsidR="00C202C6" w:rsidRPr="00965AAA" w:rsidRDefault="00C202C6" w:rsidP="00C202C6">
      <w:pPr>
        <w:pStyle w:val="NormalWeb"/>
        <w:numPr>
          <w:ilvl w:val="0"/>
          <w:numId w:val="4"/>
        </w:numPr>
        <w:rPr>
          <w:rFonts w:asciiTheme="minorHAnsi" w:hAnsiTheme="minorHAnsi" w:cstheme="minorHAnsi"/>
          <w:b/>
          <w:bCs/>
        </w:rPr>
      </w:pPr>
      <w:r w:rsidRPr="00965AAA">
        <w:rPr>
          <w:rFonts w:asciiTheme="minorHAnsi" w:hAnsiTheme="minorHAnsi" w:cstheme="minorHAnsi"/>
          <w:b/>
          <w:bCs/>
        </w:rPr>
        <w:t>Theology</w:t>
      </w:r>
      <w:r w:rsidR="00D179F6" w:rsidRPr="00965AAA">
        <w:rPr>
          <w:rFonts w:asciiTheme="minorHAnsi" w:hAnsiTheme="minorHAnsi" w:cstheme="minorHAnsi"/>
          <w:b/>
          <w:bCs/>
        </w:rPr>
        <w:t xml:space="preserve"> in a time of “necessity”</w:t>
      </w:r>
      <w:r w:rsidRPr="00965AAA">
        <w:rPr>
          <w:rFonts w:asciiTheme="minorHAnsi" w:hAnsiTheme="minorHAnsi" w:cstheme="minorHAnsi"/>
          <w:b/>
          <w:bCs/>
        </w:rPr>
        <w:t xml:space="preserve">. </w:t>
      </w:r>
      <w:r w:rsidRPr="00965AAA">
        <w:rPr>
          <w:rFonts w:asciiTheme="minorHAnsi" w:hAnsiTheme="minorHAnsi" w:cstheme="minorHAnsi"/>
        </w:rPr>
        <w:t>The symbolism of the common cup is precisely what makes it dangerous — its sociality and its materiality. The pandemic strikes at the very heart of the sacrament that bind us together as a Eucharistic community.</w:t>
      </w:r>
      <w:r w:rsidR="00992F38" w:rsidRPr="00965AAA">
        <w:rPr>
          <w:rFonts w:asciiTheme="minorHAnsi" w:hAnsiTheme="minorHAnsi" w:cstheme="minorHAnsi"/>
        </w:rPr>
        <w:t xml:space="preserve"> “</w:t>
      </w:r>
      <w:r w:rsidR="00D179F6" w:rsidRPr="00965AAA">
        <w:rPr>
          <w:rFonts w:asciiTheme="minorHAnsi" w:hAnsiTheme="minorHAnsi" w:cstheme="minorHAnsi"/>
        </w:rPr>
        <w:t>T</w:t>
      </w:r>
      <w:r w:rsidR="00992F38" w:rsidRPr="00965AAA">
        <w:rPr>
          <w:rFonts w:asciiTheme="minorHAnsi" w:hAnsiTheme="minorHAnsi" w:cstheme="minorHAnsi"/>
        </w:rPr>
        <w:t>he present emergency” (or</w:t>
      </w:r>
      <w:r w:rsidR="00965AAA" w:rsidRPr="00965AAA">
        <w:rPr>
          <w:rFonts w:asciiTheme="minorHAnsi" w:hAnsiTheme="minorHAnsi" w:cstheme="minorHAnsi"/>
        </w:rPr>
        <w:t xml:space="preserve"> “necessity” as St Paul would have called it — 1 Cor 7.26</w:t>
      </w:r>
      <w:r w:rsidR="00992F38" w:rsidRPr="00965AAA">
        <w:rPr>
          <w:rFonts w:asciiTheme="minorHAnsi" w:hAnsiTheme="minorHAnsi" w:cstheme="minorHAnsi"/>
        </w:rPr>
        <w:t xml:space="preserve">) is likely to be with us for some time. </w:t>
      </w:r>
    </w:p>
    <w:p w14:paraId="0148622B" w14:textId="688AAD81" w:rsidR="00B973D7" w:rsidRPr="00965AAA" w:rsidRDefault="00C202C6" w:rsidP="00965AAA">
      <w:pPr>
        <w:pStyle w:val="NormalWeb"/>
        <w:ind w:left="720"/>
        <w:rPr>
          <w:rFonts w:asciiTheme="minorHAnsi" w:hAnsiTheme="minorHAnsi" w:cstheme="minorHAnsi"/>
          <w:b/>
          <w:bCs/>
        </w:rPr>
      </w:pPr>
      <w:r w:rsidRPr="00965AAA">
        <w:rPr>
          <w:rFonts w:asciiTheme="minorHAnsi" w:hAnsiTheme="minorHAnsi" w:cstheme="minorHAnsi"/>
        </w:rPr>
        <w:t>Paul has some interesting ideas on l</w:t>
      </w:r>
      <w:r w:rsidR="00946122" w:rsidRPr="00965AAA">
        <w:rPr>
          <w:rFonts w:asciiTheme="minorHAnsi" w:hAnsiTheme="minorHAnsi" w:cstheme="minorHAnsi"/>
        </w:rPr>
        <w:t>iving in a time of uncertainty</w:t>
      </w:r>
      <w:r w:rsidR="00965AAA" w:rsidRPr="00965AAA">
        <w:rPr>
          <w:rFonts w:asciiTheme="minorHAnsi" w:hAnsiTheme="minorHAnsi" w:cstheme="minorHAnsi"/>
        </w:rPr>
        <w:t xml:space="preserve"> in </w:t>
      </w:r>
      <w:r w:rsidRPr="00965AAA">
        <w:rPr>
          <w:rFonts w:asciiTheme="minorHAnsi" w:hAnsiTheme="minorHAnsi" w:cstheme="minorHAnsi"/>
        </w:rPr>
        <w:t xml:space="preserve">1 Cor 7. </w:t>
      </w:r>
      <w:r w:rsidR="00965AAA" w:rsidRPr="00965AAA">
        <w:rPr>
          <w:rFonts w:asciiTheme="minorHAnsi" w:hAnsiTheme="minorHAnsi" w:cstheme="minorHAnsi"/>
        </w:rPr>
        <w:t>He</w:t>
      </w:r>
      <w:r w:rsidR="00946122" w:rsidRPr="00965AAA">
        <w:rPr>
          <w:rFonts w:asciiTheme="minorHAnsi" w:hAnsiTheme="minorHAnsi" w:cstheme="minorHAnsi"/>
        </w:rPr>
        <w:t xml:space="preserve"> has clear ideas on what is the ideal</w:t>
      </w:r>
      <w:r w:rsidR="00965AAA" w:rsidRPr="00965AAA">
        <w:rPr>
          <w:rFonts w:asciiTheme="minorHAnsi" w:hAnsiTheme="minorHAnsi" w:cstheme="minorHAnsi"/>
        </w:rPr>
        <w:t xml:space="preserve"> Christian lifestyle </w:t>
      </w:r>
      <w:r w:rsidR="00946122" w:rsidRPr="00965AAA">
        <w:rPr>
          <w:rFonts w:asciiTheme="minorHAnsi" w:hAnsiTheme="minorHAnsi" w:cstheme="minorHAnsi"/>
        </w:rPr>
        <w:t xml:space="preserve">— but he also knows that </w:t>
      </w:r>
      <w:r w:rsidR="00965AAA">
        <w:rPr>
          <w:rFonts w:asciiTheme="minorHAnsi" w:hAnsiTheme="minorHAnsi" w:cstheme="minorHAnsi"/>
        </w:rPr>
        <w:t xml:space="preserve">it isn’t always possible </w:t>
      </w:r>
      <w:r w:rsidR="00946122" w:rsidRPr="00965AAA">
        <w:rPr>
          <w:rFonts w:asciiTheme="minorHAnsi" w:hAnsiTheme="minorHAnsi" w:cstheme="minorHAnsi"/>
        </w:rPr>
        <w:t xml:space="preserve">‘in the present necessity’. </w:t>
      </w:r>
      <w:r w:rsidR="00BC0BD6">
        <w:rPr>
          <w:rFonts w:asciiTheme="minorHAnsi" w:hAnsiTheme="minorHAnsi" w:cstheme="minorHAnsi"/>
        </w:rPr>
        <w:t xml:space="preserve">There is a wide range of </w:t>
      </w:r>
      <w:r w:rsidR="00946122" w:rsidRPr="00965AAA">
        <w:rPr>
          <w:rFonts w:asciiTheme="minorHAnsi" w:hAnsiTheme="minorHAnsi" w:cstheme="minorHAnsi"/>
        </w:rPr>
        <w:t xml:space="preserve">practices which </w:t>
      </w:r>
      <w:r w:rsidR="00BC0BD6">
        <w:rPr>
          <w:rFonts w:asciiTheme="minorHAnsi" w:hAnsiTheme="minorHAnsi" w:cstheme="minorHAnsi"/>
        </w:rPr>
        <w:t>fall short of the</w:t>
      </w:r>
      <w:r w:rsidR="00946122" w:rsidRPr="00965AAA">
        <w:rPr>
          <w:rFonts w:asciiTheme="minorHAnsi" w:hAnsiTheme="minorHAnsi" w:cstheme="minorHAnsi"/>
        </w:rPr>
        <w:t xml:space="preserve"> ideal — but which </w:t>
      </w:r>
      <w:r w:rsidR="00BC0BD6">
        <w:rPr>
          <w:rFonts w:asciiTheme="minorHAnsi" w:hAnsiTheme="minorHAnsi" w:cstheme="minorHAnsi"/>
        </w:rPr>
        <w:t>are not sin and may be channels of holiness. T</w:t>
      </w:r>
      <w:r w:rsidR="00946122" w:rsidRPr="00965AAA">
        <w:rPr>
          <w:rFonts w:asciiTheme="minorHAnsi" w:hAnsiTheme="minorHAnsi" w:cstheme="minorHAnsi"/>
        </w:rPr>
        <w:t xml:space="preserve">o quote </w:t>
      </w:r>
      <w:r w:rsidR="00BC0BD6">
        <w:rPr>
          <w:rFonts w:asciiTheme="minorHAnsi" w:hAnsiTheme="minorHAnsi" w:cstheme="minorHAnsi"/>
        </w:rPr>
        <w:t>Pope Benedict</w:t>
      </w:r>
      <w:r w:rsidR="00946122" w:rsidRPr="00965AAA">
        <w:rPr>
          <w:rFonts w:asciiTheme="minorHAnsi" w:hAnsiTheme="minorHAnsi" w:cstheme="minorHAnsi"/>
        </w:rPr>
        <w:t xml:space="preserve">, </w:t>
      </w:r>
      <w:r w:rsidR="00BC0BD6">
        <w:rPr>
          <w:rFonts w:asciiTheme="minorHAnsi" w:hAnsiTheme="minorHAnsi" w:cstheme="minorHAnsi"/>
        </w:rPr>
        <w:t xml:space="preserve">such practices </w:t>
      </w:r>
      <w:r w:rsidR="00946122" w:rsidRPr="00965AAA">
        <w:rPr>
          <w:rFonts w:asciiTheme="minorHAnsi" w:hAnsiTheme="minorHAnsi" w:cstheme="minorHAnsi"/>
        </w:rPr>
        <w:t>‘are not nothing’</w:t>
      </w:r>
      <w:r w:rsidR="00BC0BD6">
        <w:rPr>
          <w:rFonts w:asciiTheme="minorHAnsi" w:hAnsiTheme="minorHAnsi" w:cstheme="minorHAnsi"/>
        </w:rPr>
        <w:t>.</w:t>
      </w:r>
      <w:r w:rsidR="00965AAA">
        <w:rPr>
          <w:rStyle w:val="FootnoteReference"/>
          <w:rFonts w:asciiTheme="minorHAnsi" w:hAnsiTheme="minorHAnsi" w:cstheme="minorHAnsi"/>
        </w:rPr>
        <w:footnoteReference w:id="1"/>
      </w:r>
      <w:r w:rsidR="00946122" w:rsidRPr="00965AAA">
        <w:rPr>
          <w:rFonts w:asciiTheme="minorHAnsi" w:hAnsiTheme="minorHAnsi" w:cstheme="minorHAnsi"/>
        </w:rPr>
        <w:t xml:space="preserve"> </w:t>
      </w:r>
    </w:p>
    <w:p w14:paraId="2DA6C8D2" w14:textId="13D5C5EE" w:rsidR="00992F38" w:rsidRPr="00965AAA" w:rsidRDefault="00946122" w:rsidP="00717070">
      <w:pPr>
        <w:pStyle w:val="ListParagraph"/>
        <w:numPr>
          <w:ilvl w:val="0"/>
          <w:numId w:val="4"/>
        </w:numPr>
        <w:rPr>
          <w:rFonts w:cstheme="minorHAnsi"/>
          <w:b/>
          <w:bCs/>
        </w:rPr>
      </w:pPr>
      <w:r w:rsidRPr="00965AAA">
        <w:rPr>
          <w:rFonts w:cstheme="minorHAnsi"/>
          <w:b/>
          <w:bCs/>
        </w:rPr>
        <w:t xml:space="preserve">The </w:t>
      </w:r>
      <w:r w:rsidR="007D32C0" w:rsidRPr="00965AAA">
        <w:rPr>
          <w:rFonts w:cstheme="minorHAnsi"/>
          <w:b/>
          <w:bCs/>
        </w:rPr>
        <w:t>bread that we break</w:t>
      </w:r>
      <w:r w:rsidR="00D179F6" w:rsidRPr="00965AAA">
        <w:rPr>
          <w:rFonts w:cstheme="minorHAnsi"/>
          <w:b/>
          <w:bCs/>
        </w:rPr>
        <w:t>: 1 Cor 10.16-17 and 11.17-34.</w:t>
      </w:r>
    </w:p>
    <w:p w14:paraId="6B86964B" w14:textId="78F5BC70" w:rsidR="00D179F6" w:rsidRPr="00965AAA" w:rsidRDefault="00D179F6" w:rsidP="00965AAA">
      <w:pPr>
        <w:pStyle w:val="NormalWeb"/>
        <w:pBdr>
          <w:top w:val="single" w:sz="4" w:space="1" w:color="auto"/>
          <w:left w:val="single" w:sz="4" w:space="4" w:color="auto"/>
          <w:bottom w:val="single" w:sz="4" w:space="1" w:color="auto"/>
          <w:right w:val="single" w:sz="4" w:space="4" w:color="auto"/>
        </w:pBdr>
        <w:ind w:left="720"/>
        <w:rPr>
          <w:rFonts w:asciiTheme="minorHAnsi" w:hAnsiTheme="minorHAnsi" w:cstheme="minorHAnsi"/>
          <w:b/>
          <w:bCs/>
          <w:i/>
          <w:iCs/>
        </w:rPr>
      </w:pPr>
      <w:r w:rsidRPr="00965AAA">
        <w:rPr>
          <w:rFonts w:asciiTheme="minorHAnsi" w:hAnsiTheme="minorHAnsi" w:cstheme="minorHAnsi"/>
          <w:b/>
          <w:bCs/>
          <w:i/>
          <w:iCs/>
        </w:rPr>
        <w:t xml:space="preserve">The cup of blessing that we bless, is it not a </w:t>
      </w:r>
      <w:r w:rsidRPr="00965AAA">
        <w:rPr>
          <w:rFonts w:asciiTheme="minorHAnsi" w:hAnsiTheme="minorHAnsi" w:cstheme="minorHAnsi"/>
          <w:b/>
          <w:bCs/>
          <w:u w:val="single"/>
        </w:rPr>
        <w:t>koinonia</w:t>
      </w:r>
      <w:r w:rsidRPr="00965AAA">
        <w:rPr>
          <w:rFonts w:asciiTheme="minorHAnsi" w:hAnsiTheme="minorHAnsi" w:cstheme="minorHAnsi"/>
          <w:b/>
          <w:bCs/>
          <w:i/>
          <w:iCs/>
        </w:rPr>
        <w:t xml:space="preserve"> [sharing, participation, fellowship, communion] in the body of Christ? The bread that we break, is it not a </w:t>
      </w:r>
      <w:r w:rsidRPr="00965AAA">
        <w:rPr>
          <w:rFonts w:asciiTheme="minorHAnsi" w:hAnsiTheme="minorHAnsi" w:cstheme="minorHAnsi"/>
          <w:b/>
          <w:bCs/>
          <w:u w:val="single"/>
        </w:rPr>
        <w:t>koinonia</w:t>
      </w:r>
      <w:r w:rsidRPr="00965AAA">
        <w:rPr>
          <w:rFonts w:asciiTheme="minorHAnsi" w:hAnsiTheme="minorHAnsi" w:cstheme="minorHAnsi"/>
          <w:b/>
          <w:bCs/>
          <w:i/>
          <w:iCs/>
        </w:rPr>
        <w:t xml:space="preserve"> in the body of Christ? Because there is one bread, we who are many are one body, for we all partake of the one brea</w:t>
      </w:r>
      <w:r w:rsidR="00F651C6">
        <w:rPr>
          <w:rFonts w:asciiTheme="minorHAnsi" w:hAnsiTheme="minorHAnsi" w:cstheme="minorHAnsi"/>
          <w:b/>
          <w:bCs/>
          <w:i/>
          <w:iCs/>
        </w:rPr>
        <w:t>d</w:t>
      </w:r>
      <w:r w:rsidRPr="00965AAA">
        <w:rPr>
          <w:rFonts w:asciiTheme="minorHAnsi" w:hAnsiTheme="minorHAnsi" w:cstheme="minorHAnsi"/>
          <w:b/>
          <w:bCs/>
          <w:i/>
          <w:iCs/>
        </w:rPr>
        <w:t>. (1 Corinthians 10.16</w:t>
      </w:r>
      <w:r w:rsidR="00965AAA">
        <w:rPr>
          <w:rFonts w:asciiTheme="minorHAnsi" w:hAnsiTheme="minorHAnsi" w:cstheme="minorHAnsi"/>
          <w:b/>
          <w:bCs/>
          <w:i/>
          <w:iCs/>
        </w:rPr>
        <w:t>f</w:t>
      </w:r>
      <w:r w:rsidRPr="00965AAA">
        <w:rPr>
          <w:rFonts w:asciiTheme="minorHAnsi" w:hAnsiTheme="minorHAnsi" w:cstheme="minorHAnsi"/>
          <w:b/>
          <w:bCs/>
          <w:i/>
          <w:iCs/>
        </w:rPr>
        <w:t xml:space="preserve">). </w:t>
      </w:r>
    </w:p>
    <w:p w14:paraId="38C41CA8" w14:textId="58696904" w:rsidR="00717070" w:rsidRPr="00965AAA" w:rsidRDefault="00BC0BD6" w:rsidP="00717070">
      <w:pPr>
        <w:rPr>
          <w:rFonts w:cstheme="minorHAnsi"/>
        </w:rPr>
      </w:pPr>
      <w:r>
        <w:rPr>
          <w:rFonts w:cstheme="minorHAnsi"/>
        </w:rPr>
        <w:t>1 Corinthians 10-11 is the</w:t>
      </w:r>
      <w:r w:rsidR="00D179F6" w:rsidRPr="00965AAA">
        <w:rPr>
          <w:rFonts w:cstheme="minorHAnsi"/>
        </w:rPr>
        <w:t xml:space="preserve"> </w:t>
      </w:r>
      <w:r w:rsidR="00717070" w:rsidRPr="00965AAA">
        <w:rPr>
          <w:rFonts w:cstheme="minorHAnsi"/>
        </w:rPr>
        <w:t>oldest testimony we have to the words of institution (11.23-26)</w:t>
      </w:r>
      <w:r w:rsidR="00AF0A59" w:rsidRPr="00965AAA">
        <w:rPr>
          <w:rFonts w:cstheme="minorHAnsi"/>
        </w:rPr>
        <w:t xml:space="preserve">, to the material elements of the </w:t>
      </w:r>
      <w:r w:rsidR="001D5B6B" w:rsidRPr="00965AAA">
        <w:rPr>
          <w:rFonts w:cstheme="minorHAnsi"/>
        </w:rPr>
        <w:t>sacrament</w:t>
      </w:r>
      <w:r w:rsidR="00AF0A59" w:rsidRPr="00965AAA">
        <w:rPr>
          <w:rFonts w:cstheme="minorHAnsi"/>
        </w:rPr>
        <w:t>,</w:t>
      </w:r>
      <w:r w:rsidR="00717070" w:rsidRPr="00965AAA">
        <w:rPr>
          <w:rFonts w:cstheme="minorHAnsi"/>
        </w:rPr>
        <w:t xml:space="preserve"> and to </w:t>
      </w:r>
      <w:r w:rsidR="001D5B6B" w:rsidRPr="00965AAA">
        <w:rPr>
          <w:rFonts w:cstheme="minorHAnsi"/>
        </w:rPr>
        <w:t>its</w:t>
      </w:r>
      <w:r w:rsidR="00717070" w:rsidRPr="00965AAA">
        <w:rPr>
          <w:rFonts w:cstheme="minorHAnsi"/>
        </w:rPr>
        <w:t xml:space="preserve"> theological </w:t>
      </w:r>
      <w:r w:rsidR="001D5B6B" w:rsidRPr="00965AAA">
        <w:rPr>
          <w:rFonts w:cstheme="minorHAnsi"/>
        </w:rPr>
        <w:t>significance</w:t>
      </w:r>
      <w:r w:rsidR="00717070" w:rsidRPr="00965AAA">
        <w:rPr>
          <w:rFonts w:cstheme="minorHAnsi"/>
        </w:rPr>
        <w:t xml:space="preserve">. Paul also draws some warning lines around the practice of the Corinthian church: it is possible to share bread and wine in a way that </w:t>
      </w:r>
      <w:r w:rsidR="00AF0A59" w:rsidRPr="00965AAA">
        <w:rPr>
          <w:rFonts w:cstheme="minorHAnsi"/>
        </w:rPr>
        <w:t>fails to “discern the Body” (11.29) and therefore is not “the Lord’s Supper” (11.20).</w:t>
      </w:r>
    </w:p>
    <w:p w14:paraId="27477ABA" w14:textId="77777777" w:rsidR="001D5B6B" w:rsidRPr="00965AAA" w:rsidRDefault="001D5B6B" w:rsidP="00717070">
      <w:pPr>
        <w:rPr>
          <w:rFonts w:cstheme="minorHAnsi"/>
        </w:rPr>
      </w:pPr>
    </w:p>
    <w:p w14:paraId="57D0F17D" w14:textId="56AD1C4C" w:rsidR="00717070" w:rsidRPr="00965AAA" w:rsidRDefault="001D5B6B" w:rsidP="00AF0A59">
      <w:pPr>
        <w:pStyle w:val="ListParagraph"/>
        <w:numPr>
          <w:ilvl w:val="0"/>
          <w:numId w:val="6"/>
        </w:numPr>
        <w:rPr>
          <w:rFonts w:cstheme="minorHAnsi"/>
        </w:rPr>
      </w:pPr>
      <w:r w:rsidRPr="00965AAA">
        <w:rPr>
          <w:rFonts w:cstheme="minorHAnsi"/>
        </w:rPr>
        <w:t>1 Cor 10.16f = a</w:t>
      </w:r>
      <w:r w:rsidR="00AF0A59" w:rsidRPr="00965AAA">
        <w:rPr>
          <w:rFonts w:cstheme="minorHAnsi"/>
        </w:rPr>
        <w:t xml:space="preserve"> throwaway remark</w:t>
      </w:r>
      <w:r w:rsidRPr="00965AAA">
        <w:rPr>
          <w:rFonts w:cstheme="minorHAnsi"/>
        </w:rPr>
        <w:t>:</w:t>
      </w:r>
      <w:r w:rsidR="00AF0A59" w:rsidRPr="00965AAA">
        <w:rPr>
          <w:rFonts w:cstheme="minorHAnsi"/>
        </w:rPr>
        <w:t xml:space="preserve"> a shared assumption, common ground that underpins everything else — not a theological novelty</w:t>
      </w:r>
      <w:r w:rsidR="00BC0BD6">
        <w:rPr>
          <w:rFonts w:cstheme="minorHAnsi"/>
        </w:rPr>
        <w:t xml:space="preserve"> (like Phil 2.5-11).</w:t>
      </w:r>
    </w:p>
    <w:p w14:paraId="6953C9C9" w14:textId="77777777" w:rsidR="00AF0A59" w:rsidRPr="00965AAA" w:rsidRDefault="00AF0A59" w:rsidP="00AF0A59">
      <w:pPr>
        <w:pStyle w:val="ListParagraph"/>
        <w:rPr>
          <w:rFonts w:cstheme="minorHAnsi"/>
        </w:rPr>
      </w:pPr>
    </w:p>
    <w:p w14:paraId="12ED3BC7" w14:textId="4158E5DD" w:rsidR="00A02508" w:rsidRPr="00965AAA" w:rsidRDefault="001D5B6B" w:rsidP="00A02508">
      <w:pPr>
        <w:pStyle w:val="ListParagraph"/>
        <w:numPr>
          <w:ilvl w:val="0"/>
          <w:numId w:val="6"/>
        </w:numPr>
        <w:rPr>
          <w:rFonts w:cstheme="minorHAnsi"/>
        </w:rPr>
      </w:pPr>
      <w:r w:rsidRPr="00965AAA">
        <w:rPr>
          <w:rFonts w:cstheme="minorHAnsi"/>
        </w:rPr>
        <w:t>Key word =</w:t>
      </w:r>
      <w:r w:rsidR="00AF0A59" w:rsidRPr="00965AAA">
        <w:rPr>
          <w:rFonts w:cstheme="minorHAnsi"/>
        </w:rPr>
        <w:t xml:space="preserve"> </w:t>
      </w:r>
      <w:r w:rsidR="00AF0A59" w:rsidRPr="00965AAA">
        <w:rPr>
          <w:rFonts w:cstheme="minorHAnsi"/>
          <w:b/>
          <w:bCs/>
          <w:i/>
          <w:iCs/>
        </w:rPr>
        <w:t>koinonia</w:t>
      </w:r>
      <w:r w:rsidR="00AF0A59" w:rsidRPr="00965AAA">
        <w:rPr>
          <w:rFonts w:cstheme="minorHAnsi"/>
          <w:i/>
          <w:iCs/>
        </w:rPr>
        <w:t xml:space="preserve"> </w:t>
      </w:r>
      <w:r w:rsidR="00AF0A59" w:rsidRPr="00965AAA">
        <w:rPr>
          <w:rFonts w:cstheme="minorHAnsi"/>
        </w:rPr>
        <w:t>(communion).</w:t>
      </w:r>
      <w:r w:rsidR="00A02508" w:rsidRPr="00965AAA">
        <w:rPr>
          <w:rFonts w:cstheme="minorHAnsi"/>
        </w:rPr>
        <w:t xml:space="preserve"> </w:t>
      </w:r>
      <w:r w:rsidRPr="00965AAA">
        <w:rPr>
          <w:rFonts w:cstheme="minorHAnsi"/>
        </w:rPr>
        <w:t xml:space="preserve">Inherent duality: </w:t>
      </w:r>
      <w:r w:rsidRPr="00965AAA">
        <w:rPr>
          <w:rFonts w:cstheme="minorHAnsi"/>
          <w:b/>
          <w:bCs/>
          <w:i/>
          <w:iCs/>
        </w:rPr>
        <w:t>koinonia</w:t>
      </w:r>
      <w:r w:rsidRPr="00965AAA">
        <w:rPr>
          <w:rFonts w:cstheme="minorHAnsi"/>
        </w:rPr>
        <w:t xml:space="preserve"> has both </w:t>
      </w:r>
      <w:r w:rsidR="00B66A33">
        <w:rPr>
          <w:rFonts w:cstheme="minorHAnsi"/>
        </w:rPr>
        <w:t>‘</w:t>
      </w:r>
      <w:r w:rsidRPr="00B66A33">
        <w:rPr>
          <w:rFonts w:cstheme="minorHAnsi"/>
          <w:u w:val="single"/>
        </w:rPr>
        <w:t>horizontal</w:t>
      </w:r>
      <w:r w:rsidR="00B66A33">
        <w:rPr>
          <w:rFonts w:cstheme="minorHAnsi"/>
          <w:u w:val="single"/>
        </w:rPr>
        <w:t>’</w:t>
      </w:r>
      <w:r w:rsidRPr="00965AAA">
        <w:rPr>
          <w:rFonts w:cstheme="minorHAnsi"/>
        </w:rPr>
        <w:t xml:space="preserve"> and </w:t>
      </w:r>
      <w:r w:rsidR="00B66A33">
        <w:rPr>
          <w:rFonts w:cstheme="minorHAnsi"/>
        </w:rPr>
        <w:t>‘</w:t>
      </w:r>
      <w:r w:rsidRPr="00B66A33">
        <w:rPr>
          <w:rFonts w:cstheme="minorHAnsi"/>
          <w:u w:val="single"/>
        </w:rPr>
        <w:t>vertical</w:t>
      </w:r>
      <w:r w:rsidR="00B66A33">
        <w:rPr>
          <w:rFonts w:cstheme="minorHAnsi"/>
          <w:u w:val="single"/>
        </w:rPr>
        <w:t>’</w:t>
      </w:r>
      <w:r w:rsidRPr="00B66A33">
        <w:rPr>
          <w:rFonts w:cstheme="minorHAnsi"/>
          <w:u w:val="single"/>
        </w:rPr>
        <w:t xml:space="preserve"> </w:t>
      </w:r>
      <w:r w:rsidRPr="00965AAA">
        <w:rPr>
          <w:rFonts w:cstheme="minorHAnsi"/>
        </w:rPr>
        <w:t>aspects</w:t>
      </w:r>
      <w:r w:rsidR="00A02508" w:rsidRPr="00965AAA">
        <w:rPr>
          <w:rFonts w:cstheme="minorHAnsi"/>
          <w:i/>
          <w:iCs/>
        </w:rPr>
        <w:t xml:space="preserve">. </w:t>
      </w:r>
      <w:r w:rsidRPr="00965AAA">
        <w:rPr>
          <w:rFonts w:cstheme="minorHAnsi"/>
        </w:rPr>
        <w:t xml:space="preserve">Sharing implies </w:t>
      </w:r>
      <w:r w:rsidRPr="00965AAA">
        <w:rPr>
          <w:rFonts w:cstheme="minorHAnsi"/>
          <w:i/>
          <w:iCs/>
        </w:rPr>
        <w:t xml:space="preserve">sociality: </w:t>
      </w:r>
      <w:r w:rsidRPr="00965AAA">
        <w:rPr>
          <w:rFonts w:cstheme="minorHAnsi"/>
        </w:rPr>
        <w:t xml:space="preserve">those we </w:t>
      </w:r>
      <w:r w:rsidRPr="00965AAA">
        <w:rPr>
          <w:rFonts w:cstheme="minorHAnsi"/>
          <w:u w:val="single"/>
        </w:rPr>
        <w:t>share with</w:t>
      </w:r>
      <w:r w:rsidRPr="00965AAA">
        <w:rPr>
          <w:rFonts w:cstheme="minorHAnsi"/>
        </w:rPr>
        <w:t xml:space="preserve"> become our </w:t>
      </w:r>
      <w:r w:rsidR="00A02508" w:rsidRPr="00965AAA">
        <w:rPr>
          <w:rFonts w:cstheme="minorHAnsi"/>
        </w:rPr>
        <w:t>partners in a common enterprise</w:t>
      </w:r>
      <w:r w:rsidRPr="00965AAA">
        <w:rPr>
          <w:rFonts w:cstheme="minorHAnsi"/>
        </w:rPr>
        <w:t xml:space="preserve">. But it also has an object: we are </w:t>
      </w:r>
      <w:r w:rsidRPr="00965AAA">
        <w:rPr>
          <w:rFonts w:cstheme="minorHAnsi"/>
          <w:u w:val="single"/>
        </w:rPr>
        <w:t>sharing in</w:t>
      </w:r>
      <w:r w:rsidRPr="00965AAA">
        <w:rPr>
          <w:rFonts w:cstheme="minorHAnsi"/>
        </w:rPr>
        <w:t xml:space="preserve"> something outside ourselves, not simply focused on each other. </w:t>
      </w:r>
      <w:r w:rsidR="00A02508" w:rsidRPr="00965AAA">
        <w:rPr>
          <w:rFonts w:cstheme="minorHAnsi"/>
        </w:rPr>
        <w:t xml:space="preserve"> </w:t>
      </w:r>
    </w:p>
    <w:p w14:paraId="321B0926" w14:textId="77777777" w:rsidR="00A02508" w:rsidRPr="00965AAA" w:rsidRDefault="00A02508" w:rsidP="00A02508">
      <w:pPr>
        <w:pStyle w:val="ListParagraph"/>
        <w:rPr>
          <w:rFonts w:cstheme="minorHAnsi"/>
        </w:rPr>
      </w:pPr>
    </w:p>
    <w:p w14:paraId="784942A8" w14:textId="4A55673B" w:rsidR="00AF0A59" w:rsidRPr="00965AAA" w:rsidRDefault="00A02508" w:rsidP="00A02508">
      <w:pPr>
        <w:pStyle w:val="ListParagraph"/>
        <w:numPr>
          <w:ilvl w:val="0"/>
          <w:numId w:val="6"/>
        </w:numPr>
        <w:rPr>
          <w:rFonts w:cstheme="minorHAnsi"/>
        </w:rPr>
      </w:pPr>
      <w:r w:rsidRPr="00965AAA">
        <w:rPr>
          <w:rFonts w:cstheme="minorHAnsi"/>
        </w:rPr>
        <w:t>Th</w:t>
      </w:r>
      <w:r w:rsidR="001D5B6B" w:rsidRPr="00965AAA">
        <w:rPr>
          <w:rFonts w:cstheme="minorHAnsi"/>
        </w:rPr>
        <w:t>ese</w:t>
      </w:r>
      <w:r w:rsidRPr="00965AAA">
        <w:rPr>
          <w:rFonts w:cstheme="minorHAnsi"/>
        </w:rPr>
        <w:t xml:space="preserve"> two</w:t>
      </w:r>
      <w:r w:rsidR="001D5B6B" w:rsidRPr="00965AAA">
        <w:rPr>
          <w:rFonts w:cstheme="minorHAnsi"/>
        </w:rPr>
        <w:t xml:space="preserve"> </w:t>
      </w:r>
      <w:r w:rsidRPr="00965AAA">
        <w:rPr>
          <w:rFonts w:cstheme="minorHAnsi"/>
        </w:rPr>
        <w:t>dimension</w:t>
      </w:r>
      <w:r w:rsidR="001D5B6B" w:rsidRPr="00965AAA">
        <w:rPr>
          <w:rFonts w:cstheme="minorHAnsi"/>
        </w:rPr>
        <w:t>s</w:t>
      </w:r>
      <w:r w:rsidRPr="00965AAA">
        <w:rPr>
          <w:rFonts w:cstheme="minorHAnsi"/>
        </w:rPr>
        <w:t xml:space="preserve"> </w:t>
      </w:r>
      <w:r w:rsidR="001D5B6B" w:rsidRPr="00965AAA">
        <w:rPr>
          <w:rFonts w:cstheme="minorHAnsi"/>
        </w:rPr>
        <w:t xml:space="preserve">of </w:t>
      </w:r>
      <w:r w:rsidR="001D5B6B" w:rsidRPr="00965AAA">
        <w:rPr>
          <w:rFonts w:cstheme="minorHAnsi"/>
          <w:b/>
          <w:bCs/>
          <w:i/>
          <w:iCs/>
        </w:rPr>
        <w:t>koinonia</w:t>
      </w:r>
      <w:r w:rsidR="001D5B6B" w:rsidRPr="00965AAA">
        <w:rPr>
          <w:rFonts w:cstheme="minorHAnsi"/>
          <w:i/>
          <w:iCs/>
        </w:rPr>
        <w:t xml:space="preserve"> </w:t>
      </w:r>
      <w:r w:rsidRPr="00965AAA">
        <w:rPr>
          <w:rFonts w:cstheme="minorHAnsi"/>
        </w:rPr>
        <w:t xml:space="preserve">lie at the heart of Paul’s understanding of the eucharist — and of the </w:t>
      </w:r>
      <w:r w:rsidR="00B76E06">
        <w:rPr>
          <w:rFonts w:cstheme="minorHAnsi"/>
        </w:rPr>
        <w:t>whole epistle</w:t>
      </w:r>
      <w:r w:rsidRPr="00965AAA">
        <w:rPr>
          <w:rFonts w:cstheme="minorHAnsi"/>
        </w:rPr>
        <w:t xml:space="preserve">. </w:t>
      </w:r>
      <w:r w:rsidR="001D5B6B" w:rsidRPr="00965AAA">
        <w:rPr>
          <w:rFonts w:cstheme="minorHAnsi"/>
        </w:rPr>
        <w:t>B</w:t>
      </w:r>
      <w:r w:rsidRPr="00965AAA">
        <w:rPr>
          <w:rFonts w:cstheme="minorHAnsi"/>
        </w:rPr>
        <w:t>elong</w:t>
      </w:r>
      <w:r w:rsidR="001D5B6B" w:rsidRPr="00965AAA">
        <w:rPr>
          <w:rFonts w:cstheme="minorHAnsi"/>
        </w:rPr>
        <w:t>ing</w:t>
      </w:r>
      <w:r w:rsidRPr="00965AAA">
        <w:rPr>
          <w:rFonts w:cstheme="minorHAnsi"/>
        </w:rPr>
        <w:t xml:space="preserve"> to the fellowship </w:t>
      </w:r>
      <w:r w:rsidR="001D5B6B" w:rsidRPr="00965AAA">
        <w:rPr>
          <w:rFonts w:cstheme="minorHAnsi"/>
        </w:rPr>
        <w:t>(</w:t>
      </w:r>
      <w:r w:rsidR="001D5B6B" w:rsidRPr="00965AAA">
        <w:rPr>
          <w:rFonts w:cstheme="minorHAnsi"/>
          <w:b/>
          <w:bCs/>
          <w:i/>
          <w:iCs/>
        </w:rPr>
        <w:t>koinonia</w:t>
      </w:r>
      <w:r w:rsidR="001D5B6B" w:rsidRPr="00965AAA">
        <w:rPr>
          <w:rFonts w:cstheme="minorHAnsi"/>
          <w:i/>
          <w:iCs/>
        </w:rPr>
        <w:t xml:space="preserve">) </w:t>
      </w:r>
      <w:r w:rsidRPr="00965AAA">
        <w:rPr>
          <w:rFonts w:cstheme="minorHAnsi"/>
        </w:rPr>
        <w:t>of Christ (1.9) has both a vertical aspect (</w:t>
      </w:r>
      <w:r w:rsidR="00D158CA" w:rsidRPr="00965AAA">
        <w:rPr>
          <w:rFonts w:cstheme="minorHAnsi"/>
        </w:rPr>
        <w:t>being</w:t>
      </w:r>
      <w:r w:rsidRPr="00965AAA">
        <w:rPr>
          <w:rFonts w:cstheme="minorHAnsi"/>
        </w:rPr>
        <w:t xml:space="preserve"> i</w:t>
      </w:r>
      <w:r w:rsidR="00D158CA" w:rsidRPr="00965AAA">
        <w:rPr>
          <w:rFonts w:cstheme="minorHAnsi"/>
        </w:rPr>
        <w:t>n Christ</w:t>
      </w:r>
      <w:r w:rsidRPr="00965AAA">
        <w:rPr>
          <w:rFonts w:cstheme="minorHAnsi"/>
        </w:rPr>
        <w:t>) and a horizontal aspect (</w:t>
      </w:r>
      <w:r w:rsidR="00B76E06">
        <w:rPr>
          <w:rFonts w:cstheme="minorHAnsi"/>
        </w:rPr>
        <w:t>becoming partners</w:t>
      </w:r>
      <w:r w:rsidRPr="00965AAA">
        <w:rPr>
          <w:rFonts w:cstheme="minorHAnsi"/>
        </w:rPr>
        <w:t xml:space="preserve"> with our brothers and sisters, </w:t>
      </w:r>
      <w:r w:rsidR="00B76E06">
        <w:rPr>
          <w:rFonts w:cstheme="minorHAnsi"/>
        </w:rPr>
        <w:t>fellow-</w:t>
      </w:r>
      <w:r w:rsidRPr="00965AAA">
        <w:rPr>
          <w:rFonts w:cstheme="minorHAnsi"/>
        </w:rPr>
        <w:t>members of the Body</w:t>
      </w:r>
      <w:r w:rsidR="00EC4D89" w:rsidRPr="00965AAA">
        <w:rPr>
          <w:rFonts w:cstheme="minorHAnsi"/>
        </w:rPr>
        <w:t xml:space="preserve">). </w:t>
      </w:r>
    </w:p>
    <w:p w14:paraId="7560EF6D" w14:textId="77777777" w:rsidR="00EC4D89" w:rsidRPr="00965AAA" w:rsidRDefault="00EC4D89" w:rsidP="00EC4D89">
      <w:pPr>
        <w:pStyle w:val="ListParagraph"/>
        <w:rPr>
          <w:rFonts w:cstheme="minorHAnsi"/>
        </w:rPr>
      </w:pPr>
    </w:p>
    <w:p w14:paraId="7220F4EC" w14:textId="32A23E46" w:rsidR="00EC4D89" w:rsidRPr="00965AAA" w:rsidRDefault="00D158CA" w:rsidP="00A02508">
      <w:pPr>
        <w:pStyle w:val="ListParagraph"/>
        <w:numPr>
          <w:ilvl w:val="0"/>
          <w:numId w:val="6"/>
        </w:numPr>
        <w:rPr>
          <w:rFonts w:cstheme="minorHAnsi"/>
        </w:rPr>
      </w:pPr>
      <w:r w:rsidRPr="00965AAA">
        <w:rPr>
          <w:rFonts w:cstheme="minorHAnsi"/>
        </w:rPr>
        <w:t>E</w:t>
      </w:r>
      <w:r w:rsidR="00EC4D89" w:rsidRPr="00965AAA">
        <w:rPr>
          <w:rFonts w:cstheme="minorHAnsi"/>
        </w:rPr>
        <w:t>ucharist</w:t>
      </w:r>
      <w:r w:rsidRPr="00965AAA">
        <w:rPr>
          <w:rFonts w:cstheme="minorHAnsi"/>
        </w:rPr>
        <w:t xml:space="preserve">ic </w:t>
      </w:r>
      <w:r w:rsidRPr="00965AAA">
        <w:rPr>
          <w:rFonts w:cstheme="minorHAnsi"/>
          <w:b/>
          <w:bCs/>
          <w:i/>
          <w:iCs/>
        </w:rPr>
        <w:t>koinonia</w:t>
      </w:r>
      <w:r w:rsidR="00EC4D89" w:rsidRPr="00965AAA">
        <w:rPr>
          <w:rFonts w:cstheme="minorHAnsi"/>
        </w:rPr>
        <w:t xml:space="preserve"> combines the material and the spiritual. In sharing in the bread, worshippers are </w:t>
      </w:r>
      <w:r w:rsidR="00EC4D89" w:rsidRPr="00965AAA">
        <w:rPr>
          <w:rFonts w:cstheme="minorHAnsi"/>
          <w:i/>
          <w:iCs/>
        </w:rPr>
        <w:t>sharing in</w:t>
      </w:r>
      <w:r w:rsidR="00EC4D89" w:rsidRPr="00965AAA">
        <w:rPr>
          <w:rFonts w:cstheme="minorHAnsi"/>
        </w:rPr>
        <w:t xml:space="preserve"> the body of Christ (11.24), united with Christ, participating in </w:t>
      </w:r>
      <w:r w:rsidRPr="00965AAA">
        <w:rPr>
          <w:rFonts w:cstheme="minorHAnsi"/>
        </w:rPr>
        <w:t>God</w:t>
      </w:r>
      <w:r w:rsidR="00EC4D89" w:rsidRPr="00965AAA">
        <w:rPr>
          <w:rFonts w:cstheme="minorHAnsi"/>
        </w:rPr>
        <w:t xml:space="preserve"> — the ‘vertical’ dimension. But in the same act they are also </w:t>
      </w:r>
      <w:r w:rsidR="00EC4D89" w:rsidRPr="00965AAA">
        <w:rPr>
          <w:rFonts w:cstheme="minorHAnsi"/>
          <w:i/>
          <w:iCs/>
        </w:rPr>
        <w:t>sharing with</w:t>
      </w:r>
      <w:r w:rsidR="00EC4D89" w:rsidRPr="00965AAA">
        <w:rPr>
          <w:rFonts w:cstheme="minorHAnsi"/>
        </w:rPr>
        <w:t xml:space="preserve"> their fellow-worshippers, becoming “one body” — the horizontal dimension. </w:t>
      </w:r>
      <w:r w:rsidRPr="00965AAA">
        <w:rPr>
          <w:rFonts w:cstheme="minorHAnsi"/>
        </w:rPr>
        <w:t>Integrally connected with</w:t>
      </w:r>
      <w:r w:rsidR="00EC4D89" w:rsidRPr="00965AAA">
        <w:rPr>
          <w:rFonts w:cstheme="minorHAnsi"/>
        </w:rPr>
        <w:t xml:space="preserve"> </w:t>
      </w:r>
      <w:r w:rsidRPr="00965AAA">
        <w:rPr>
          <w:rFonts w:cstheme="minorHAnsi"/>
        </w:rPr>
        <w:t>Paul’s</w:t>
      </w:r>
      <w:r w:rsidR="00EC4D89" w:rsidRPr="00965AAA">
        <w:rPr>
          <w:rFonts w:cstheme="minorHAnsi"/>
        </w:rPr>
        <w:t xml:space="preserve"> discussion of </w:t>
      </w:r>
      <w:r w:rsidRPr="00965AAA">
        <w:rPr>
          <w:rFonts w:cstheme="minorHAnsi"/>
        </w:rPr>
        <w:t xml:space="preserve">the </w:t>
      </w:r>
      <w:r w:rsidR="00EC4D89" w:rsidRPr="00965AAA">
        <w:rPr>
          <w:rFonts w:cstheme="minorHAnsi"/>
        </w:rPr>
        <w:t xml:space="preserve">Body of Christ in ch.12. </w:t>
      </w:r>
    </w:p>
    <w:p w14:paraId="6ED70E92" w14:textId="77777777" w:rsidR="005F3472" w:rsidRPr="00965AAA" w:rsidRDefault="005F3472" w:rsidP="005F3472">
      <w:pPr>
        <w:pStyle w:val="ListParagraph"/>
        <w:rPr>
          <w:rFonts w:cstheme="minorHAnsi"/>
        </w:rPr>
      </w:pPr>
    </w:p>
    <w:p w14:paraId="7D6E1C6B" w14:textId="77777777" w:rsidR="00D158CA" w:rsidRPr="00965AAA" w:rsidRDefault="005F3472" w:rsidP="00D158CA">
      <w:pPr>
        <w:pStyle w:val="ListParagraph"/>
        <w:numPr>
          <w:ilvl w:val="0"/>
          <w:numId w:val="6"/>
        </w:numPr>
        <w:rPr>
          <w:rFonts w:cstheme="minorHAnsi"/>
        </w:rPr>
      </w:pPr>
      <w:r w:rsidRPr="00965AAA">
        <w:rPr>
          <w:rFonts w:cstheme="minorHAnsi"/>
        </w:rPr>
        <w:t>There is a shocking materiality about this</w:t>
      </w:r>
      <w:r w:rsidR="00D158CA" w:rsidRPr="00965AAA">
        <w:rPr>
          <w:rFonts w:cstheme="minorHAnsi"/>
        </w:rPr>
        <w:t>.</w:t>
      </w:r>
      <w:r w:rsidRPr="00965AAA">
        <w:rPr>
          <w:rFonts w:cstheme="minorHAnsi"/>
        </w:rPr>
        <w:t xml:space="preserve"> The whole letter moves in and out of ‘body language’, from the fracturing of Christ’s body in </w:t>
      </w:r>
      <w:proofErr w:type="spellStart"/>
      <w:r w:rsidRPr="00965AAA">
        <w:rPr>
          <w:rFonts w:cstheme="minorHAnsi"/>
        </w:rPr>
        <w:t>chs</w:t>
      </w:r>
      <w:proofErr w:type="spellEnd"/>
      <w:r w:rsidRPr="00965AAA">
        <w:rPr>
          <w:rFonts w:cstheme="minorHAnsi"/>
        </w:rPr>
        <w:t xml:space="preserve"> 1-4 to the resurrection body in ch.15. The materiality of eating and drinking is essential to the eucharist.</w:t>
      </w:r>
    </w:p>
    <w:p w14:paraId="69245DE8" w14:textId="77777777" w:rsidR="007D32C0" w:rsidRPr="00965AAA" w:rsidRDefault="007D32C0" w:rsidP="007D32C0">
      <w:pPr>
        <w:rPr>
          <w:rFonts w:cstheme="minorHAnsi"/>
        </w:rPr>
      </w:pPr>
    </w:p>
    <w:p w14:paraId="3DA68FEB" w14:textId="575B4F5F" w:rsidR="007D32C0" w:rsidRPr="00965AAA" w:rsidRDefault="00BC0BD6" w:rsidP="007D32C0">
      <w:pPr>
        <w:rPr>
          <w:rFonts w:cstheme="minorHAnsi"/>
        </w:rPr>
      </w:pPr>
      <w:r>
        <w:rPr>
          <w:rFonts w:cstheme="minorHAnsi"/>
        </w:rPr>
        <w:t>In terms of our own material practice,</w:t>
      </w:r>
      <w:r w:rsidR="007D32C0" w:rsidRPr="00965AAA">
        <w:rPr>
          <w:rFonts w:cstheme="minorHAnsi"/>
        </w:rPr>
        <w:t xml:space="preserve"> Paul’s words leave several questions open. </w:t>
      </w:r>
    </w:p>
    <w:p w14:paraId="39EBF5E6" w14:textId="3DE1A7F7" w:rsidR="007D32C0" w:rsidRDefault="007D32C0" w:rsidP="007D32C0">
      <w:pPr>
        <w:pStyle w:val="ListParagraph"/>
        <w:numPr>
          <w:ilvl w:val="1"/>
          <w:numId w:val="6"/>
        </w:numPr>
        <w:rPr>
          <w:rFonts w:cstheme="minorHAnsi"/>
          <w:i/>
          <w:iCs/>
        </w:rPr>
      </w:pPr>
      <w:r w:rsidRPr="00965AAA">
        <w:rPr>
          <w:rFonts w:cstheme="minorHAnsi"/>
          <w:i/>
          <w:iCs/>
        </w:rPr>
        <w:t xml:space="preserve">Eating and drinking what? What is the </w:t>
      </w:r>
      <w:r w:rsidRPr="00965AAA">
        <w:rPr>
          <w:rFonts w:cstheme="minorHAnsi"/>
          <w:b/>
          <w:bCs/>
          <w:i/>
          <w:iCs/>
        </w:rPr>
        <w:t>material substance</w:t>
      </w:r>
      <w:r w:rsidRPr="00965AAA">
        <w:rPr>
          <w:rFonts w:cstheme="minorHAnsi"/>
          <w:i/>
          <w:iCs/>
        </w:rPr>
        <w:t xml:space="preserve"> of the elements? Does it have to be bread made from wheat and wine made from grapes? Or is that simply one of the ‘accidents’ of the time and place when Jesus and Paul were speaking? Should it be unleavened bread as at the Last Supper?</w:t>
      </w:r>
    </w:p>
    <w:p w14:paraId="14F581AE" w14:textId="77777777" w:rsidR="00BC0BD6" w:rsidRPr="00965AAA" w:rsidRDefault="00BC0BD6" w:rsidP="00BC0BD6">
      <w:pPr>
        <w:pStyle w:val="ListParagraph"/>
        <w:ind w:left="1440"/>
        <w:rPr>
          <w:rFonts w:cstheme="minorHAnsi"/>
          <w:i/>
          <w:iCs/>
        </w:rPr>
      </w:pPr>
    </w:p>
    <w:p w14:paraId="2C4555FE" w14:textId="297CA69C" w:rsidR="007D32C0" w:rsidRDefault="007D32C0" w:rsidP="007D32C0">
      <w:pPr>
        <w:pStyle w:val="ListParagraph"/>
        <w:numPr>
          <w:ilvl w:val="1"/>
          <w:numId w:val="6"/>
        </w:numPr>
        <w:rPr>
          <w:rFonts w:cstheme="minorHAnsi"/>
          <w:i/>
          <w:iCs/>
        </w:rPr>
      </w:pPr>
      <w:r w:rsidRPr="00965AAA">
        <w:rPr>
          <w:rFonts w:cstheme="minorHAnsi"/>
          <w:i/>
          <w:iCs/>
        </w:rPr>
        <w:t xml:space="preserve">Breaking the </w:t>
      </w:r>
      <w:r w:rsidRPr="00965AAA">
        <w:rPr>
          <w:rFonts w:cstheme="minorHAnsi"/>
          <w:b/>
          <w:bCs/>
          <w:i/>
          <w:iCs/>
        </w:rPr>
        <w:t>one loaf</w:t>
      </w:r>
      <w:r w:rsidRPr="00965AAA">
        <w:rPr>
          <w:rFonts w:cstheme="minorHAnsi"/>
          <w:i/>
          <w:iCs/>
        </w:rPr>
        <w:t xml:space="preserve"> plays a large part in the effectiveness of the analogy. Arguably, the use of individual wafers (long accepted in Anglican practice) loses this symbolic significance. Does this matter? If not, why not?</w:t>
      </w:r>
    </w:p>
    <w:p w14:paraId="2E108391" w14:textId="77777777" w:rsidR="00BC0BD6" w:rsidRPr="00BC0BD6" w:rsidRDefault="00BC0BD6" w:rsidP="00BC0BD6">
      <w:pPr>
        <w:rPr>
          <w:rFonts w:cstheme="minorHAnsi"/>
          <w:i/>
          <w:iCs/>
        </w:rPr>
      </w:pPr>
    </w:p>
    <w:p w14:paraId="7B00B827" w14:textId="4B19DEAC" w:rsidR="007D32C0" w:rsidRDefault="007D32C0" w:rsidP="007D32C0">
      <w:pPr>
        <w:pStyle w:val="ListParagraph"/>
        <w:numPr>
          <w:ilvl w:val="1"/>
          <w:numId w:val="6"/>
        </w:numPr>
        <w:rPr>
          <w:rFonts w:cstheme="minorHAnsi"/>
          <w:i/>
          <w:iCs/>
        </w:rPr>
      </w:pPr>
      <w:r w:rsidRPr="00965AAA">
        <w:rPr>
          <w:rFonts w:cstheme="minorHAnsi"/>
          <w:i/>
          <w:iCs/>
        </w:rPr>
        <w:t xml:space="preserve">The symbolic significance of drinking from </w:t>
      </w:r>
      <w:r w:rsidRPr="00965AAA">
        <w:rPr>
          <w:rFonts w:cstheme="minorHAnsi"/>
          <w:b/>
          <w:bCs/>
          <w:i/>
          <w:iCs/>
        </w:rPr>
        <w:t>one cup</w:t>
      </w:r>
      <w:r w:rsidRPr="00965AAA">
        <w:rPr>
          <w:rFonts w:cstheme="minorHAnsi"/>
          <w:i/>
          <w:iCs/>
        </w:rPr>
        <w:t xml:space="preserve"> plays a much smaller part in Paul’s argument (though it is implicit). The phrase ‘cup of blessing’ implies something like the ancient Jewish custom of </w:t>
      </w:r>
      <w:proofErr w:type="spellStart"/>
      <w:r w:rsidRPr="00965AAA">
        <w:rPr>
          <w:rFonts w:cstheme="minorHAnsi"/>
          <w:i/>
          <w:iCs/>
        </w:rPr>
        <w:t>Qiddush</w:t>
      </w:r>
      <w:proofErr w:type="spellEnd"/>
      <w:r w:rsidRPr="00965AAA">
        <w:rPr>
          <w:rFonts w:cstheme="minorHAnsi"/>
          <w:i/>
          <w:iCs/>
        </w:rPr>
        <w:t xml:space="preserve">. But is it essential that the cup is physically passed around, or can the symbolism be conveyed in a different way? How does the cup differ from the loaf? </w:t>
      </w:r>
    </w:p>
    <w:p w14:paraId="3A8053F6" w14:textId="77777777" w:rsidR="00BC0BD6" w:rsidRPr="00BC0BD6" w:rsidRDefault="00BC0BD6" w:rsidP="00BC0BD6">
      <w:pPr>
        <w:rPr>
          <w:rFonts w:cstheme="minorHAnsi"/>
          <w:i/>
          <w:iCs/>
        </w:rPr>
      </w:pPr>
    </w:p>
    <w:p w14:paraId="65A5A9ED" w14:textId="23E515FB" w:rsidR="007D32C0" w:rsidRDefault="007D32C0" w:rsidP="007D32C0">
      <w:pPr>
        <w:pStyle w:val="ListParagraph"/>
        <w:numPr>
          <w:ilvl w:val="1"/>
          <w:numId w:val="6"/>
        </w:numPr>
        <w:rPr>
          <w:rFonts w:cstheme="minorHAnsi"/>
          <w:i/>
          <w:iCs/>
        </w:rPr>
      </w:pPr>
      <w:r w:rsidRPr="00965AAA">
        <w:rPr>
          <w:rFonts w:cstheme="minorHAnsi"/>
          <w:i/>
          <w:iCs/>
        </w:rPr>
        <w:t xml:space="preserve">Incidentally, in 11.25 the cup is described as </w:t>
      </w:r>
      <w:r w:rsidRPr="00965AAA">
        <w:rPr>
          <w:rFonts w:cstheme="minorHAnsi"/>
          <w:b/>
          <w:bCs/>
          <w:i/>
          <w:iCs/>
        </w:rPr>
        <w:t>“the new covenant in my blood”</w:t>
      </w:r>
      <w:r w:rsidRPr="00965AAA">
        <w:rPr>
          <w:rFonts w:cstheme="minorHAnsi"/>
          <w:i/>
          <w:iCs/>
        </w:rPr>
        <w:t>. What difference does this make, and why?</w:t>
      </w:r>
    </w:p>
    <w:p w14:paraId="1C5F5C89" w14:textId="77777777" w:rsidR="00BC0BD6" w:rsidRPr="00BC0BD6" w:rsidRDefault="00BC0BD6" w:rsidP="00BC0BD6">
      <w:pPr>
        <w:rPr>
          <w:rFonts w:cstheme="minorHAnsi"/>
          <w:i/>
          <w:iCs/>
        </w:rPr>
      </w:pPr>
    </w:p>
    <w:p w14:paraId="1699DF14" w14:textId="5A7B7026" w:rsidR="00BC0BD6" w:rsidRDefault="007D32C0" w:rsidP="00B66A33">
      <w:pPr>
        <w:pStyle w:val="ListParagraph"/>
        <w:numPr>
          <w:ilvl w:val="1"/>
          <w:numId w:val="6"/>
        </w:numPr>
        <w:rPr>
          <w:rFonts w:cstheme="minorHAnsi"/>
          <w:i/>
          <w:iCs/>
        </w:rPr>
      </w:pPr>
      <w:r w:rsidRPr="00965AAA">
        <w:rPr>
          <w:rFonts w:cstheme="minorHAnsi"/>
          <w:i/>
          <w:iCs/>
        </w:rPr>
        <w:t>Is “</w:t>
      </w:r>
      <w:r w:rsidRPr="00965AAA">
        <w:rPr>
          <w:rFonts w:cstheme="minorHAnsi"/>
          <w:b/>
          <w:bCs/>
          <w:i/>
          <w:iCs/>
        </w:rPr>
        <w:t>symbolic significance</w:t>
      </w:r>
      <w:r w:rsidRPr="00965AAA">
        <w:rPr>
          <w:rFonts w:cstheme="minorHAnsi"/>
          <w:i/>
          <w:iCs/>
        </w:rPr>
        <w:t>” the same as “</w:t>
      </w:r>
      <w:r w:rsidRPr="00965AAA">
        <w:rPr>
          <w:rFonts w:cstheme="minorHAnsi"/>
          <w:b/>
          <w:bCs/>
          <w:i/>
          <w:iCs/>
        </w:rPr>
        <w:t>sacramental efficacy</w:t>
      </w:r>
      <w:r w:rsidRPr="00965AAA">
        <w:rPr>
          <w:rFonts w:cstheme="minorHAnsi"/>
          <w:i/>
          <w:iCs/>
        </w:rPr>
        <w:t>”? Could we agree that the symbolism of the one bread/cup is an ideal, but one that can be dispensed with in emergencies without the loss of sacramental efficacy</w:t>
      </w:r>
      <w:r w:rsidR="00B66A33">
        <w:rPr>
          <w:rFonts w:cstheme="minorHAnsi"/>
          <w:i/>
          <w:iCs/>
        </w:rPr>
        <w:t>.</w:t>
      </w:r>
    </w:p>
    <w:p w14:paraId="4C8A4B9A" w14:textId="77777777" w:rsidR="00721FC7" w:rsidRPr="00721FC7" w:rsidRDefault="00721FC7" w:rsidP="00721FC7">
      <w:pPr>
        <w:rPr>
          <w:rFonts w:cstheme="minorHAnsi"/>
          <w:i/>
          <w:iCs/>
        </w:rPr>
      </w:pPr>
    </w:p>
    <w:p w14:paraId="160760AF" w14:textId="7DC65049" w:rsidR="00D158CA" w:rsidRPr="00965AAA" w:rsidRDefault="00D158CA" w:rsidP="00D158CA">
      <w:pPr>
        <w:pStyle w:val="ListParagraph"/>
        <w:numPr>
          <w:ilvl w:val="0"/>
          <w:numId w:val="4"/>
        </w:numPr>
        <w:rPr>
          <w:rFonts w:cstheme="minorHAnsi"/>
          <w:b/>
          <w:bCs/>
        </w:rPr>
      </w:pPr>
      <w:r w:rsidRPr="00965AAA">
        <w:rPr>
          <w:rFonts w:cstheme="minorHAnsi"/>
          <w:b/>
          <w:bCs/>
        </w:rPr>
        <w:lastRenderedPageBreak/>
        <w:t>The horizontal dimension: one bread, one body</w:t>
      </w:r>
    </w:p>
    <w:p w14:paraId="310E14AE" w14:textId="77777777" w:rsidR="004B1D43" w:rsidRPr="00965AAA" w:rsidRDefault="004B1D43" w:rsidP="004B1D43">
      <w:pPr>
        <w:rPr>
          <w:rFonts w:cstheme="minorHAnsi"/>
        </w:rPr>
      </w:pPr>
    </w:p>
    <w:p w14:paraId="043C1A0D" w14:textId="470D36A1" w:rsidR="004B1D43" w:rsidRPr="00B66A33" w:rsidRDefault="004B1D43" w:rsidP="00B66A33">
      <w:pPr>
        <w:pStyle w:val="ListParagraph"/>
        <w:pBdr>
          <w:top w:val="single" w:sz="4" w:space="1" w:color="auto"/>
          <w:left w:val="single" w:sz="4" w:space="4" w:color="auto"/>
          <w:bottom w:val="single" w:sz="4" w:space="1" w:color="auto"/>
          <w:right w:val="single" w:sz="4" w:space="4" w:color="auto"/>
        </w:pBdr>
        <w:rPr>
          <w:rFonts w:cstheme="minorHAnsi"/>
          <w:b/>
          <w:bCs/>
          <w:i/>
          <w:iCs/>
        </w:rPr>
      </w:pPr>
      <w:r w:rsidRPr="00B66A33">
        <w:rPr>
          <w:rFonts w:cstheme="minorHAnsi"/>
          <w:b/>
          <w:bCs/>
          <w:i/>
          <w:iCs/>
        </w:rPr>
        <w:t xml:space="preserve">But in this I do not commend you, because when you come together it is not for the better but for the worse. For in the first place, when you assemble as a church, I hear that there are divisions among you …. When you meet together, it is not the Lord’s supper that you eat: for in eating, each one goes ahead with his own meal, and one is </w:t>
      </w:r>
      <w:proofErr w:type="gramStart"/>
      <w:r w:rsidRPr="00B66A33">
        <w:rPr>
          <w:rFonts w:cstheme="minorHAnsi"/>
          <w:b/>
          <w:bCs/>
          <w:i/>
          <w:iCs/>
        </w:rPr>
        <w:t>hungry</w:t>
      </w:r>
      <w:proofErr w:type="gramEnd"/>
      <w:r w:rsidRPr="00B66A33">
        <w:rPr>
          <w:rFonts w:cstheme="minorHAnsi"/>
          <w:b/>
          <w:bCs/>
          <w:i/>
          <w:iCs/>
        </w:rPr>
        <w:t xml:space="preserve"> and another is drunk.</w:t>
      </w:r>
      <w:r w:rsidR="007D32C0" w:rsidRPr="00B66A33">
        <w:rPr>
          <w:rFonts w:cstheme="minorHAnsi"/>
          <w:b/>
          <w:bCs/>
          <w:i/>
          <w:iCs/>
        </w:rPr>
        <w:t xml:space="preserve"> … Do you despise the church of God and humiliate those who have nothing?</w:t>
      </w:r>
      <w:r w:rsidR="001140CC" w:rsidRPr="00B66A33">
        <w:rPr>
          <w:rFonts w:cstheme="minorHAnsi"/>
          <w:b/>
          <w:bCs/>
          <w:i/>
          <w:iCs/>
        </w:rPr>
        <w:t xml:space="preserve"> Shall I commend you in this? No, I will not.</w:t>
      </w:r>
      <w:r w:rsidR="007D32C0" w:rsidRPr="00B66A33">
        <w:rPr>
          <w:rFonts w:cstheme="minorHAnsi"/>
          <w:b/>
          <w:bCs/>
          <w:i/>
          <w:iCs/>
        </w:rPr>
        <w:t xml:space="preserve"> </w:t>
      </w:r>
      <w:r w:rsidRPr="00B66A33">
        <w:rPr>
          <w:rFonts w:cstheme="minorHAnsi"/>
          <w:b/>
          <w:bCs/>
          <w:i/>
          <w:iCs/>
        </w:rPr>
        <w:t>(1 Cor 11.17-</w:t>
      </w:r>
      <w:r w:rsidR="007D32C0" w:rsidRPr="00B66A33">
        <w:rPr>
          <w:rFonts w:cstheme="minorHAnsi"/>
          <w:b/>
          <w:bCs/>
          <w:i/>
          <w:iCs/>
        </w:rPr>
        <w:t>22</w:t>
      </w:r>
      <w:r w:rsidRPr="00B66A33">
        <w:rPr>
          <w:rFonts w:cstheme="minorHAnsi"/>
          <w:b/>
          <w:bCs/>
          <w:i/>
          <w:iCs/>
        </w:rPr>
        <w:t xml:space="preserve">). </w:t>
      </w:r>
    </w:p>
    <w:p w14:paraId="150BF7A2" w14:textId="77777777" w:rsidR="00B66A33" w:rsidRDefault="00B66A33" w:rsidP="00815445">
      <w:pPr>
        <w:rPr>
          <w:rFonts w:cstheme="minorHAnsi"/>
        </w:rPr>
      </w:pPr>
    </w:p>
    <w:p w14:paraId="3B275B67" w14:textId="50D560CB" w:rsidR="00815445" w:rsidRPr="00965AAA" w:rsidRDefault="00B66A33" w:rsidP="00815445">
      <w:pPr>
        <w:rPr>
          <w:rFonts w:cstheme="minorHAnsi"/>
        </w:rPr>
      </w:pPr>
      <w:r>
        <w:rPr>
          <w:rFonts w:cstheme="minorHAnsi"/>
        </w:rPr>
        <w:t>One of the key advances in NT studies since the 1970s has been the rediscovery of the ‘social’ aspects of</w:t>
      </w:r>
      <w:r w:rsidR="00815445" w:rsidRPr="00965AAA">
        <w:rPr>
          <w:rFonts w:cstheme="minorHAnsi"/>
        </w:rPr>
        <w:t xml:space="preserve"> </w:t>
      </w:r>
      <w:r>
        <w:rPr>
          <w:rFonts w:cstheme="minorHAnsi"/>
        </w:rPr>
        <w:t xml:space="preserve">Pauline theology (Wayne Meeks; Abe Malherbe; Gerd </w:t>
      </w:r>
      <w:proofErr w:type="spellStart"/>
      <w:r>
        <w:rPr>
          <w:rFonts w:cstheme="minorHAnsi"/>
        </w:rPr>
        <w:t>Theissen</w:t>
      </w:r>
      <w:proofErr w:type="spellEnd"/>
      <w:r>
        <w:rPr>
          <w:rFonts w:cstheme="minorHAnsi"/>
        </w:rPr>
        <w:t xml:space="preserve">; David </w:t>
      </w:r>
      <w:proofErr w:type="spellStart"/>
      <w:r>
        <w:rPr>
          <w:rFonts w:cstheme="minorHAnsi"/>
        </w:rPr>
        <w:t>Horrell</w:t>
      </w:r>
      <w:proofErr w:type="spellEnd"/>
      <w:r>
        <w:rPr>
          <w:rFonts w:cstheme="minorHAnsi"/>
        </w:rPr>
        <w:t>; Dale Martin).</w:t>
      </w:r>
      <w:r>
        <w:rPr>
          <w:rStyle w:val="FootnoteReference"/>
          <w:rFonts w:cstheme="minorHAnsi"/>
        </w:rPr>
        <w:footnoteReference w:id="2"/>
      </w:r>
      <w:r>
        <w:rPr>
          <w:rFonts w:cstheme="minorHAnsi"/>
        </w:rPr>
        <w:t xml:space="preserve"> So </w:t>
      </w:r>
      <w:proofErr w:type="spellStart"/>
      <w:r>
        <w:rPr>
          <w:rFonts w:cstheme="minorHAnsi"/>
        </w:rPr>
        <w:t>Theissen’s</w:t>
      </w:r>
      <w:proofErr w:type="spellEnd"/>
      <w:r>
        <w:rPr>
          <w:rFonts w:cstheme="minorHAnsi"/>
        </w:rPr>
        <w:t xml:space="preserve"> now-classic essay br</w:t>
      </w:r>
      <w:r w:rsidR="00ED6277">
        <w:rPr>
          <w:rFonts w:cstheme="minorHAnsi"/>
        </w:rPr>
        <w:t>ings</w:t>
      </w:r>
      <w:r>
        <w:rPr>
          <w:rFonts w:cstheme="minorHAnsi"/>
        </w:rPr>
        <w:t xml:space="preserve"> out the fact that in </w:t>
      </w:r>
      <w:r w:rsidR="00815445" w:rsidRPr="00965AAA">
        <w:rPr>
          <w:rFonts w:cstheme="minorHAnsi"/>
        </w:rPr>
        <w:t>ch.11, Paul’s immediate concern is with the ‘horizontal’ dimension of the eucharist: ritual practices (still fluid at this stage) are evaluated in the light of their effectiveness in ‘building up the body’.</w:t>
      </w:r>
    </w:p>
    <w:p w14:paraId="4EC5425A" w14:textId="77777777" w:rsidR="004B1D43" w:rsidRPr="00965AAA" w:rsidRDefault="004B1D43" w:rsidP="005E6612">
      <w:pPr>
        <w:rPr>
          <w:rFonts w:cstheme="minorHAnsi"/>
        </w:rPr>
      </w:pPr>
    </w:p>
    <w:p w14:paraId="3C441CE2" w14:textId="4A726CAF" w:rsidR="007D32C0" w:rsidRPr="00965AAA" w:rsidRDefault="007D32C0" w:rsidP="007D32C0">
      <w:pPr>
        <w:pStyle w:val="ListParagraph"/>
        <w:numPr>
          <w:ilvl w:val="0"/>
          <w:numId w:val="7"/>
        </w:numPr>
        <w:rPr>
          <w:rFonts w:cstheme="minorHAnsi"/>
        </w:rPr>
      </w:pPr>
      <w:r w:rsidRPr="00965AAA">
        <w:rPr>
          <w:rFonts w:cstheme="minorHAnsi"/>
        </w:rPr>
        <w:t>What makes the difference between a private supper (</w:t>
      </w:r>
      <w:proofErr w:type="spellStart"/>
      <w:r w:rsidRPr="00965AAA">
        <w:rPr>
          <w:rFonts w:cstheme="minorHAnsi"/>
          <w:i/>
          <w:iCs/>
        </w:rPr>
        <w:t>idion</w:t>
      </w:r>
      <w:proofErr w:type="spellEnd"/>
      <w:r w:rsidRPr="00965AAA">
        <w:rPr>
          <w:rFonts w:cstheme="minorHAnsi"/>
          <w:i/>
          <w:iCs/>
        </w:rPr>
        <w:t xml:space="preserve"> </w:t>
      </w:r>
      <w:proofErr w:type="spellStart"/>
      <w:r w:rsidRPr="00965AAA">
        <w:rPr>
          <w:rFonts w:cstheme="minorHAnsi"/>
          <w:i/>
          <w:iCs/>
        </w:rPr>
        <w:t>deipnon</w:t>
      </w:r>
      <w:proofErr w:type="spellEnd"/>
      <w:r w:rsidRPr="00965AAA">
        <w:rPr>
          <w:rFonts w:cstheme="minorHAnsi"/>
          <w:i/>
          <w:iCs/>
        </w:rPr>
        <w:t xml:space="preserve">) </w:t>
      </w:r>
      <w:r w:rsidRPr="00965AAA">
        <w:rPr>
          <w:rFonts w:cstheme="minorHAnsi"/>
        </w:rPr>
        <w:t>and ‘the Lord’s supper’ (</w:t>
      </w:r>
      <w:proofErr w:type="spellStart"/>
      <w:r w:rsidRPr="00965AAA">
        <w:rPr>
          <w:rFonts w:cstheme="minorHAnsi"/>
          <w:i/>
          <w:iCs/>
        </w:rPr>
        <w:t>kuriakon</w:t>
      </w:r>
      <w:proofErr w:type="spellEnd"/>
      <w:r w:rsidRPr="00965AAA">
        <w:rPr>
          <w:rFonts w:cstheme="minorHAnsi"/>
          <w:i/>
          <w:iCs/>
        </w:rPr>
        <w:t xml:space="preserve"> </w:t>
      </w:r>
      <w:proofErr w:type="spellStart"/>
      <w:r w:rsidRPr="00965AAA">
        <w:rPr>
          <w:rFonts w:cstheme="minorHAnsi"/>
          <w:i/>
          <w:iCs/>
        </w:rPr>
        <w:t>deipnon</w:t>
      </w:r>
      <w:proofErr w:type="spellEnd"/>
      <w:r w:rsidRPr="00965AAA">
        <w:rPr>
          <w:rFonts w:cstheme="minorHAnsi"/>
        </w:rPr>
        <w:t xml:space="preserve">)? The problem is not ‘coming together’ (they’re doing that OK, vv.18, 20) but factions (18-19) and </w:t>
      </w:r>
      <w:r w:rsidR="00ED6277">
        <w:rPr>
          <w:rFonts w:cstheme="minorHAnsi"/>
        </w:rPr>
        <w:t xml:space="preserve">social divisions: </w:t>
      </w:r>
      <w:r w:rsidRPr="00965AAA">
        <w:rPr>
          <w:rFonts w:cstheme="minorHAnsi"/>
        </w:rPr>
        <w:t xml:space="preserve">failure to consider the needs of the poorer members of the community </w:t>
      </w:r>
      <w:r w:rsidR="00ED6277">
        <w:rPr>
          <w:rFonts w:cstheme="minorHAnsi"/>
        </w:rPr>
        <w:t xml:space="preserve">is destructive of Christian community at a very fundamental level </w:t>
      </w:r>
      <w:r w:rsidRPr="00965AAA">
        <w:rPr>
          <w:rFonts w:cstheme="minorHAnsi"/>
        </w:rPr>
        <w:t xml:space="preserve">(21-22). </w:t>
      </w:r>
    </w:p>
    <w:p w14:paraId="454EA252" w14:textId="77777777" w:rsidR="007D32C0" w:rsidRPr="00965AAA" w:rsidRDefault="007D32C0" w:rsidP="007D32C0">
      <w:pPr>
        <w:pStyle w:val="ListParagraph"/>
        <w:rPr>
          <w:rFonts w:cstheme="minorHAnsi"/>
        </w:rPr>
      </w:pPr>
    </w:p>
    <w:p w14:paraId="4885EFA3" w14:textId="44E985D8" w:rsidR="001140CC" w:rsidRPr="00965AAA" w:rsidRDefault="001140CC" w:rsidP="001140CC">
      <w:pPr>
        <w:pStyle w:val="ListParagraph"/>
        <w:numPr>
          <w:ilvl w:val="0"/>
          <w:numId w:val="7"/>
        </w:numPr>
        <w:rPr>
          <w:rFonts w:cstheme="minorHAnsi"/>
        </w:rPr>
      </w:pPr>
      <w:r w:rsidRPr="00965AAA">
        <w:rPr>
          <w:rFonts w:cstheme="minorHAnsi"/>
        </w:rPr>
        <w:t xml:space="preserve">Paul speaks more generally here of ‘eating and drinking’ — the sociality of worship is not confined to the sacramental bread and wine. </w:t>
      </w:r>
      <w:r w:rsidR="00ED6277">
        <w:rPr>
          <w:rFonts w:cstheme="minorHAnsi"/>
        </w:rPr>
        <w:t>Every aspect</w:t>
      </w:r>
      <w:r w:rsidRPr="00965AAA">
        <w:rPr>
          <w:rFonts w:cstheme="minorHAnsi"/>
        </w:rPr>
        <w:t xml:space="preserve"> of ‘coming together’ as a church needs to contribute to ‘building up the body of Christ’ (cf.14.12). </w:t>
      </w:r>
    </w:p>
    <w:p w14:paraId="3812A81C" w14:textId="77777777" w:rsidR="001140CC" w:rsidRPr="00965AAA" w:rsidRDefault="001140CC" w:rsidP="001140CC">
      <w:pPr>
        <w:rPr>
          <w:rFonts w:cstheme="minorHAnsi"/>
        </w:rPr>
      </w:pPr>
    </w:p>
    <w:p w14:paraId="6F7E72FE" w14:textId="4948A625" w:rsidR="00212D64" w:rsidRDefault="001140CC" w:rsidP="005E6612">
      <w:pPr>
        <w:pStyle w:val="ListParagraph"/>
        <w:numPr>
          <w:ilvl w:val="0"/>
          <w:numId w:val="7"/>
        </w:numPr>
        <w:rPr>
          <w:rFonts w:cstheme="minorHAnsi"/>
        </w:rPr>
      </w:pPr>
      <w:r w:rsidRPr="00965AAA">
        <w:rPr>
          <w:rFonts w:cstheme="minorHAnsi"/>
        </w:rPr>
        <w:t xml:space="preserve">This is </w:t>
      </w:r>
      <w:r w:rsidR="00B66A33">
        <w:rPr>
          <w:rFonts w:cstheme="minorHAnsi"/>
        </w:rPr>
        <w:t xml:space="preserve">certainly </w:t>
      </w:r>
      <w:r w:rsidR="00ED6277">
        <w:rPr>
          <w:rFonts w:cstheme="minorHAnsi"/>
        </w:rPr>
        <w:t xml:space="preserve">at least </w:t>
      </w:r>
      <w:r w:rsidRPr="00965AAA">
        <w:rPr>
          <w:rFonts w:cstheme="minorHAnsi"/>
        </w:rPr>
        <w:t>part of what Paul means by</w:t>
      </w:r>
      <w:r w:rsidR="007D32C0" w:rsidRPr="00965AAA">
        <w:rPr>
          <w:rFonts w:cstheme="minorHAnsi"/>
        </w:rPr>
        <w:t xml:space="preserve"> ‘discern</w:t>
      </w:r>
      <w:r w:rsidRPr="00965AAA">
        <w:rPr>
          <w:rFonts w:cstheme="minorHAnsi"/>
        </w:rPr>
        <w:t>ing</w:t>
      </w:r>
      <w:r w:rsidR="007D32C0" w:rsidRPr="00965AAA">
        <w:rPr>
          <w:rFonts w:cstheme="minorHAnsi"/>
        </w:rPr>
        <w:t xml:space="preserve"> the Body’ in 11.29: failure to discern the whole community (not just my segment of it) as the Body of Christ</w:t>
      </w:r>
      <w:r w:rsidR="00F651C6">
        <w:rPr>
          <w:rFonts w:cstheme="minorHAnsi"/>
        </w:rPr>
        <w:t xml:space="preserve"> undermines the efficacy of the Eucharist</w:t>
      </w:r>
      <w:r w:rsidR="00B66A33">
        <w:rPr>
          <w:rFonts w:cstheme="minorHAnsi"/>
        </w:rPr>
        <w:t xml:space="preserve">. This leads straight into the discussion of the Body in </w:t>
      </w:r>
      <w:proofErr w:type="spellStart"/>
      <w:r w:rsidR="00B66A33">
        <w:rPr>
          <w:rFonts w:cstheme="minorHAnsi"/>
        </w:rPr>
        <w:t>chs</w:t>
      </w:r>
      <w:proofErr w:type="spellEnd"/>
      <w:r w:rsidR="00B66A33">
        <w:rPr>
          <w:rFonts w:cstheme="minorHAnsi"/>
        </w:rPr>
        <w:t xml:space="preserve"> 12-14.</w:t>
      </w:r>
      <w:r w:rsidRPr="00965AAA">
        <w:rPr>
          <w:rFonts w:cstheme="minorHAnsi"/>
        </w:rPr>
        <w:t xml:space="preserve"> </w:t>
      </w:r>
    </w:p>
    <w:p w14:paraId="6F916F5B" w14:textId="27F9CF93" w:rsidR="00721FC7" w:rsidRDefault="00721FC7" w:rsidP="00721FC7">
      <w:pPr>
        <w:pStyle w:val="ListParagraph"/>
        <w:rPr>
          <w:rFonts w:cstheme="minorHAnsi"/>
        </w:rPr>
      </w:pPr>
    </w:p>
    <w:p w14:paraId="359D10F2" w14:textId="77777777" w:rsidR="00721FC7" w:rsidRPr="00721FC7" w:rsidRDefault="00721FC7" w:rsidP="00721FC7">
      <w:pPr>
        <w:pStyle w:val="ListParagraph"/>
        <w:rPr>
          <w:rFonts w:cstheme="minorHAnsi"/>
        </w:rPr>
      </w:pPr>
    </w:p>
    <w:p w14:paraId="1CF6185C" w14:textId="77777777" w:rsidR="00F26B6D" w:rsidRDefault="00721FC7" w:rsidP="00F26B6D">
      <w:pPr>
        <w:rPr>
          <w:rFonts w:cstheme="minorHAnsi"/>
        </w:rPr>
      </w:pPr>
      <w:r w:rsidRPr="00965AAA">
        <w:rPr>
          <w:rFonts w:cstheme="minorHAnsi"/>
        </w:rPr>
        <w:t xml:space="preserve">But how does Paul conceive the “one-ness” of the “one body”? </w:t>
      </w:r>
    </w:p>
    <w:p w14:paraId="7E45D3FD" w14:textId="77777777" w:rsidR="0028153D" w:rsidRDefault="00721FC7" w:rsidP="0028153D">
      <w:pPr>
        <w:pStyle w:val="ListParagraph"/>
        <w:numPr>
          <w:ilvl w:val="0"/>
          <w:numId w:val="13"/>
        </w:numPr>
        <w:rPr>
          <w:rFonts w:cstheme="minorHAnsi"/>
        </w:rPr>
      </w:pPr>
      <w:r w:rsidRPr="0028153D">
        <w:rPr>
          <w:rFonts w:cstheme="minorHAnsi"/>
        </w:rPr>
        <w:t>Not a single table, but a shared meal in which all participate without social distinctions.</w:t>
      </w:r>
    </w:p>
    <w:p w14:paraId="2BAF104A" w14:textId="77777777" w:rsidR="0028153D" w:rsidRDefault="00721FC7" w:rsidP="0028153D">
      <w:pPr>
        <w:pStyle w:val="ListParagraph"/>
        <w:numPr>
          <w:ilvl w:val="0"/>
          <w:numId w:val="13"/>
        </w:numPr>
        <w:rPr>
          <w:rFonts w:cstheme="minorHAnsi"/>
        </w:rPr>
      </w:pPr>
      <w:r w:rsidRPr="0028153D">
        <w:rPr>
          <w:rFonts w:cstheme="minorHAnsi"/>
        </w:rPr>
        <w:t>Not a body without factions, but a body centred on Christ (11.19; 3.1-11).</w:t>
      </w:r>
    </w:p>
    <w:p w14:paraId="7E6424BF" w14:textId="1AE15827" w:rsidR="0028153D" w:rsidRDefault="00721FC7" w:rsidP="0028153D">
      <w:pPr>
        <w:pStyle w:val="ListParagraph"/>
        <w:numPr>
          <w:ilvl w:val="0"/>
          <w:numId w:val="13"/>
        </w:numPr>
        <w:rPr>
          <w:rFonts w:cstheme="minorHAnsi"/>
        </w:rPr>
      </w:pPr>
      <w:r w:rsidRPr="0028153D">
        <w:rPr>
          <w:rFonts w:cstheme="minorHAnsi"/>
        </w:rPr>
        <w:t xml:space="preserve">Not a socially homogeneous </w:t>
      </w:r>
      <w:r w:rsidR="0028153D">
        <w:rPr>
          <w:rFonts w:cstheme="minorHAnsi"/>
        </w:rPr>
        <w:t>club</w:t>
      </w:r>
      <w:r w:rsidRPr="0028153D">
        <w:rPr>
          <w:rFonts w:cstheme="minorHAnsi"/>
        </w:rPr>
        <w:t>, but a</w:t>
      </w:r>
      <w:r w:rsidR="0028153D">
        <w:rPr>
          <w:rFonts w:cstheme="minorHAnsi"/>
        </w:rPr>
        <w:t>n organism, a</w:t>
      </w:r>
      <w:r w:rsidRPr="0028153D">
        <w:rPr>
          <w:rFonts w:cstheme="minorHAnsi"/>
        </w:rPr>
        <w:t xml:space="preserve"> body that welcomes and transcends differences of class, gender and race (1.18-25; 12.13). </w:t>
      </w:r>
    </w:p>
    <w:p w14:paraId="6E0F30F2" w14:textId="2CD8C805" w:rsidR="00212D64" w:rsidRDefault="00721FC7" w:rsidP="0030417D">
      <w:pPr>
        <w:pStyle w:val="ListParagraph"/>
        <w:numPr>
          <w:ilvl w:val="0"/>
          <w:numId w:val="13"/>
        </w:numPr>
        <w:rPr>
          <w:rFonts w:cstheme="minorHAnsi"/>
        </w:rPr>
      </w:pPr>
      <w:r w:rsidRPr="0028153D">
        <w:rPr>
          <w:rFonts w:cstheme="minorHAnsi"/>
        </w:rPr>
        <w:t>Not a single congregation meeting in one house (Rom 16.23) but a fellowship that transcends time and place (1.2; 16.1-9, 19-20; Romans 16.1-2).</w:t>
      </w:r>
    </w:p>
    <w:p w14:paraId="137E220A" w14:textId="77777777" w:rsidR="0028153D" w:rsidRPr="0028153D" w:rsidRDefault="0028153D" w:rsidP="0028153D">
      <w:pPr>
        <w:ind w:left="360"/>
        <w:rPr>
          <w:rFonts w:cstheme="minorHAnsi"/>
        </w:rPr>
      </w:pPr>
    </w:p>
    <w:p w14:paraId="44724007" w14:textId="44512BE0" w:rsidR="00212D64" w:rsidRDefault="00212D64" w:rsidP="003B1291">
      <w:pPr>
        <w:pStyle w:val="ListParagraph"/>
        <w:rPr>
          <w:rFonts w:cstheme="minorHAnsi"/>
        </w:rPr>
      </w:pPr>
    </w:p>
    <w:p w14:paraId="0648A1BF" w14:textId="2B71E0DF" w:rsidR="00721FC7" w:rsidRPr="00F651C6" w:rsidRDefault="00721FC7" w:rsidP="00F651C6">
      <w:pPr>
        <w:rPr>
          <w:rFonts w:cstheme="minorHAnsi"/>
        </w:rPr>
      </w:pPr>
    </w:p>
    <w:p w14:paraId="4ACCA59A" w14:textId="77777777" w:rsidR="00721FC7" w:rsidRPr="00965AAA" w:rsidRDefault="00721FC7" w:rsidP="003B1291">
      <w:pPr>
        <w:pStyle w:val="ListParagraph"/>
        <w:rPr>
          <w:rFonts w:cstheme="minorHAnsi"/>
        </w:rPr>
      </w:pPr>
    </w:p>
    <w:p w14:paraId="67841493" w14:textId="6FEA455F" w:rsidR="003B1291" w:rsidRPr="00965AAA" w:rsidRDefault="003B1291" w:rsidP="003B1291">
      <w:pPr>
        <w:pStyle w:val="ListParagraph"/>
        <w:numPr>
          <w:ilvl w:val="0"/>
          <w:numId w:val="4"/>
        </w:numPr>
        <w:rPr>
          <w:rFonts w:cstheme="minorHAnsi"/>
          <w:b/>
          <w:bCs/>
        </w:rPr>
      </w:pPr>
      <w:r w:rsidRPr="00965AAA">
        <w:rPr>
          <w:rFonts w:cstheme="minorHAnsi"/>
          <w:b/>
          <w:bCs/>
        </w:rPr>
        <w:t>The vertical dimension: sharers in the Body of Christ.</w:t>
      </w:r>
    </w:p>
    <w:p w14:paraId="09744E3E" w14:textId="39C41603" w:rsidR="00815445" w:rsidRPr="00965AAA" w:rsidRDefault="00815445" w:rsidP="00815445">
      <w:pPr>
        <w:rPr>
          <w:rFonts w:cstheme="minorHAnsi"/>
          <w:b/>
          <w:bCs/>
        </w:rPr>
      </w:pPr>
    </w:p>
    <w:p w14:paraId="328D4130" w14:textId="5BC3C047" w:rsidR="00815445" w:rsidRPr="00965AAA" w:rsidRDefault="00815445" w:rsidP="00721FC7">
      <w:pPr>
        <w:pBdr>
          <w:top w:val="single" w:sz="4" w:space="1" w:color="auto"/>
          <w:left w:val="single" w:sz="4" w:space="4" w:color="auto"/>
          <w:bottom w:val="single" w:sz="4" w:space="1" w:color="auto"/>
          <w:right w:val="single" w:sz="4" w:space="4" w:color="auto"/>
        </w:pBdr>
        <w:rPr>
          <w:rFonts w:cstheme="minorHAnsi"/>
          <w:b/>
          <w:bCs/>
        </w:rPr>
      </w:pPr>
      <w:r w:rsidRPr="00965AAA">
        <w:rPr>
          <w:rFonts w:cstheme="minorHAnsi"/>
          <w:b/>
          <w:bCs/>
        </w:rPr>
        <w:t>For I received</w:t>
      </w:r>
      <w:r w:rsidR="00721FC7">
        <w:rPr>
          <w:rFonts w:cstheme="minorHAnsi"/>
          <w:b/>
          <w:bCs/>
        </w:rPr>
        <w:t xml:space="preserve"> from the Lord what I also handed on to you, that the Lord Jesus on the night when he was betrayed took [a loaf of] bread, and when he had given thanks, he broke it and said, “</w:t>
      </w:r>
      <w:r w:rsidR="00020052">
        <w:rPr>
          <w:rFonts w:cstheme="minorHAnsi"/>
          <w:b/>
          <w:bCs/>
        </w:rPr>
        <w:t>T</w:t>
      </w:r>
      <w:r w:rsidR="00721FC7">
        <w:rPr>
          <w:rFonts w:cstheme="minorHAnsi"/>
          <w:b/>
          <w:bCs/>
        </w:rPr>
        <w:t>his is my body that is for you. Do this in remembrance of me.” In the same way he took the cup after supper, saying, “This cup is the new covenant in my blood. Do this, as often as you drink it, in remembrance of me.” For as often as you eat this bread and drink this cup, you proclaim the Lord’s death until he comes. 1 Cor 11.23-26</w:t>
      </w:r>
    </w:p>
    <w:p w14:paraId="1CA12D3D" w14:textId="0B786BCE" w:rsidR="00815445" w:rsidRDefault="00815445" w:rsidP="00815445">
      <w:pPr>
        <w:rPr>
          <w:rFonts w:cstheme="minorHAnsi"/>
          <w:b/>
          <w:bCs/>
        </w:rPr>
      </w:pPr>
    </w:p>
    <w:p w14:paraId="25CC773C" w14:textId="7921ACFD" w:rsidR="000751F6" w:rsidRPr="00A86541" w:rsidRDefault="00ED6277" w:rsidP="00815445">
      <w:pPr>
        <w:rPr>
          <w:rFonts w:cstheme="minorHAnsi"/>
          <w:b/>
          <w:bCs/>
        </w:rPr>
      </w:pPr>
      <w:r>
        <w:rPr>
          <w:rFonts w:cstheme="minorHAnsi"/>
        </w:rPr>
        <w:t xml:space="preserve">But the nature of Christian </w:t>
      </w:r>
      <w:r>
        <w:rPr>
          <w:rFonts w:cstheme="minorHAnsi"/>
          <w:i/>
          <w:iCs/>
        </w:rPr>
        <w:t xml:space="preserve">koinonia </w:t>
      </w:r>
      <w:r>
        <w:rPr>
          <w:rFonts w:cstheme="minorHAnsi"/>
        </w:rPr>
        <w:t xml:space="preserve">is determined equally by its object: </w:t>
      </w:r>
      <w:r w:rsidR="00721FC7" w:rsidRPr="00965AAA">
        <w:rPr>
          <w:rFonts w:cstheme="minorHAnsi"/>
        </w:rPr>
        <w:t xml:space="preserve">it’s </w:t>
      </w:r>
      <w:r w:rsidR="00721FC7">
        <w:rPr>
          <w:rFonts w:cstheme="minorHAnsi"/>
        </w:rPr>
        <w:t xml:space="preserve">not just ‘sharing’ </w:t>
      </w:r>
      <w:r w:rsidR="00721FC7" w:rsidRPr="00965AAA">
        <w:rPr>
          <w:rFonts w:cstheme="minorHAnsi"/>
        </w:rPr>
        <w:t xml:space="preserve">that creates Christian </w:t>
      </w:r>
      <w:r w:rsidR="00721FC7" w:rsidRPr="00965AAA">
        <w:rPr>
          <w:rFonts w:cstheme="minorHAnsi"/>
          <w:b/>
          <w:bCs/>
          <w:i/>
          <w:iCs/>
        </w:rPr>
        <w:t>koinonia</w:t>
      </w:r>
      <w:r w:rsidR="00721FC7" w:rsidRPr="00721FC7">
        <w:rPr>
          <w:rFonts w:cstheme="minorHAnsi"/>
        </w:rPr>
        <w:t xml:space="preserve"> but</w:t>
      </w:r>
      <w:r w:rsidR="00721FC7">
        <w:rPr>
          <w:rFonts w:cstheme="minorHAnsi"/>
          <w:i/>
          <w:iCs/>
        </w:rPr>
        <w:t xml:space="preserve"> </w:t>
      </w:r>
      <w:r>
        <w:rPr>
          <w:rFonts w:cstheme="minorHAnsi"/>
        </w:rPr>
        <w:t xml:space="preserve">what we share in. </w:t>
      </w:r>
      <w:r w:rsidRPr="00965AAA">
        <w:rPr>
          <w:rFonts w:cstheme="minorHAnsi"/>
        </w:rPr>
        <w:t xml:space="preserve">We might compare Romans 14.4: horizontal </w:t>
      </w:r>
      <w:r w:rsidRPr="00965AAA">
        <w:rPr>
          <w:rFonts w:cstheme="minorHAnsi"/>
          <w:b/>
          <w:bCs/>
          <w:i/>
          <w:iCs/>
        </w:rPr>
        <w:t>koinonia</w:t>
      </w:r>
      <w:r w:rsidRPr="00965AAA">
        <w:rPr>
          <w:rFonts w:cstheme="minorHAnsi"/>
        </w:rPr>
        <w:t xml:space="preserve"> </w:t>
      </w:r>
      <w:r>
        <w:rPr>
          <w:rFonts w:cstheme="minorHAnsi"/>
        </w:rPr>
        <w:t>is not possible without</w:t>
      </w:r>
      <w:r w:rsidRPr="00965AAA">
        <w:rPr>
          <w:rFonts w:cstheme="minorHAnsi"/>
        </w:rPr>
        <w:t xml:space="preserve"> </w:t>
      </w:r>
      <w:r>
        <w:rPr>
          <w:rFonts w:cstheme="minorHAnsi"/>
        </w:rPr>
        <w:t xml:space="preserve">recognising the </w:t>
      </w:r>
      <w:r w:rsidRPr="00965AAA">
        <w:rPr>
          <w:rFonts w:cstheme="minorHAnsi"/>
        </w:rPr>
        <w:t xml:space="preserve">vertical relationship </w:t>
      </w:r>
      <w:r w:rsidR="00A86541">
        <w:rPr>
          <w:rFonts w:cstheme="minorHAnsi"/>
        </w:rPr>
        <w:t xml:space="preserve">of each member of the Body to </w:t>
      </w:r>
      <w:r w:rsidRPr="00965AAA">
        <w:rPr>
          <w:rFonts w:cstheme="minorHAnsi"/>
        </w:rPr>
        <w:t xml:space="preserve">‘his </w:t>
      </w:r>
      <w:r w:rsidR="00A86541">
        <w:rPr>
          <w:rFonts w:cstheme="minorHAnsi"/>
        </w:rPr>
        <w:t xml:space="preserve">or her </w:t>
      </w:r>
      <w:r w:rsidRPr="00965AAA">
        <w:rPr>
          <w:rFonts w:cstheme="minorHAnsi"/>
        </w:rPr>
        <w:t>own master’</w:t>
      </w:r>
      <w:r w:rsidRPr="00965AAA">
        <w:rPr>
          <w:rFonts w:cstheme="minorHAnsi"/>
          <w:b/>
          <w:bCs/>
          <w:i/>
          <w:iCs/>
        </w:rPr>
        <w:t>.</w:t>
      </w:r>
      <w:r w:rsidR="00A86541">
        <w:rPr>
          <w:rFonts w:cstheme="minorHAnsi"/>
          <w:b/>
          <w:bCs/>
          <w:i/>
          <w:iCs/>
        </w:rPr>
        <w:t xml:space="preserve"> </w:t>
      </w:r>
      <w:r w:rsidR="00721FC7" w:rsidRPr="00A86541">
        <w:rPr>
          <w:rFonts w:cstheme="minorHAnsi"/>
        </w:rPr>
        <w:t xml:space="preserve">So here Paul returns to </w:t>
      </w:r>
      <w:r w:rsidR="00721FC7">
        <w:rPr>
          <w:rFonts w:cstheme="minorHAnsi"/>
        </w:rPr>
        <w:t xml:space="preserve">the chain of apostolic tradition </w:t>
      </w:r>
      <w:r w:rsidR="007D0664">
        <w:rPr>
          <w:rFonts w:cstheme="minorHAnsi"/>
        </w:rPr>
        <w:t>that</w:t>
      </w:r>
      <w:r w:rsidR="00721FC7">
        <w:rPr>
          <w:rFonts w:cstheme="minorHAnsi"/>
        </w:rPr>
        <w:t xml:space="preserve"> connects the </w:t>
      </w:r>
      <w:r w:rsidR="007D0664">
        <w:rPr>
          <w:rFonts w:cstheme="minorHAnsi"/>
        </w:rPr>
        <w:t xml:space="preserve">church’s </w:t>
      </w:r>
      <w:r w:rsidR="00721FC7">
        <w:rPr>
          <w:rFonts w:cstheme="minorHAnsi"/>
        </w:rPr>
        <w:t xml:space="preserve">Eucharist to the Last Supper. </w:t>
      </w:r>
    </w:p>
    <w:p w14:paraId="55478BDC" w14:textId="77777777" w:rsidR="00A86541" w:rsidRDefault="00A86541" w:rsidP="00815445">
      <w:pPr>
        <w:rPr>
          <w:rFonts w:cstheme="minorHAnsi"/>
        </w:rPr>
      </w:pPr>
    </w:p>
    <w:p w14:paraId="156C420D" w14:textId="4825E18D" w:rsidR="000751F6" w:rsidRPr="00B76E06" w:rsidRDefault="00ED6277" w:rsidP="00815445">
      <w:pPr>
        <w:rPr>
          <w:rFonts w:cstheme="minorHAnsi"/>
        </w:rPr>
      </w:pPr>
      <w:r>
        <w:rPr>
          <w:rFonts w:cstheme="minorHAnsi"/>
        </w:rPr>
        <w:t>Thistleton</w:t>
      </w:r>
      <w:r w:rsidRPr="00ED6277">
        <w:rPr>
          <w:rFonts w:cstheme="minorHAnsi"/>
        </w:rPr>
        <w:t xml:space="preserve"> use</w:t>
      </w:r>
      <w:r>
        <w:rPr>
          <w:rFonts w:cstheme="minorHAnsi"/>
        </w:rPr>
        <w:t>s</w:t>
      </w:r>
      <w:r w:rsidRPr="00ED6277">
        <w:rPr>
          <w:rFonts w:cstheme="minorHAnsi"/>
        </w:rPr>
        <w:t xml:space="preserve"> “communal pa</w:t>
      </w:r>
      <w:r>
        <w:rPr>
          <w:rFonts w:cstheme="minorHAnsi"/>
        </w:rPr>
        <w:t>r</w:t>
      </w:r>
      <w:r w:rsidRPr="00ED6277">
        <w:rPr>
          <w:rFonts w:cstheme="minorHAnsi"/>
        </w:rPr>
        <w:t xml:space="preserve">ticipation” </w:t>
      </w:r>
      <w:r>
        <w:rPr>
          <w:rFonts w:cstheme="minorHAnsi"/>
        </w:rPr>
        <w:t xml:space="preserve">to translate </w:t>
      </w:r>
      <w:r>
        <w:rPr>
          <w:rFonts w:cstheme="minorHAnsi"/>
          <w:i/>
          <w:iCs/>
        </w:rPr>
        <w:t>koinonia</w:t>
      </w:r>
      <w:r>
        <w:rPr>
          <w:rFonts w:cstheme="minorHAnsi"/>
        </w:rPr>
        <w:t xml:space="preserve"> ‘because “fellowship” is simply too bland. The “vertical” dimension of the relationship between believers and God is the fundamental basis for the “horizontal” relationship between fellow believers. The term denotes much more than social bonding …[It] underlines … the divine reality of the church as God’s people.’</w:t>
      </w:r>
      <w:r w:rsidR="00A86541">
        <w:rPr>
          <w:rFonts w:cstheme="minorHAnsi"/>
        </w:rPr>
        <w:t xml:space="preserve"> This takes us back to the ‘one bread’ of 10.17: ‘There is a single, common ground of unity, a single basis of salvation, namely, the “broken” body of Christ, represented by </w:t>
      </w:r>
      <w:r w:rsidR="00A86541">
        <w:rPr>
          <w:rFonts w:cstheme="minorHAnsi"/>
          <w:b/>
          <w:bCs/>
        </w:rPr>
        <w:t xml:space="preserve">the bread which we break </w:t>
      </w:r>
      <w:r w:rsidR="00A86541">
        <w:rPr>
          <w:rFonts w:cstheme="minorHAnsi"/>
        </w:rPr>
        <w:t xml:space="preserve">and the shared </w:t>
      </w:r>
      <w:r w:rsidR="00A86541">
        <w:rPr>
          <w:rFonts w:cstheme="minorHAnsi"/>
          <w:b/>
          <w:bCs/>
        </w:rPr>
        <w:t xml:space="preserve">blood of Christ </w:t>
      </w:r>
      <w:r w:rsidR="00A86541" w:rsidRPr="00A86541">
        <w:rPr>
          <w:rFonts w:cstheme="minorHAnsi"/>
        </w:rPr>
        <w:t>(10.16)</w:t>
      </w:r>
      <w:r w:rsidR="00B76E06" w:rsidRPr="00B76E06">
        <w:rPr>
          <w:rFonts w:cstheme="minorHAnsi"/>
        </w:rPr>
        <w:t>.’</w:t>
      </w:r>
      <w:r w:rsidR="00F651C6" w:rsidRPr="00F651C6">
        <w:rPr>
          <w:rStyle w:val="FootnoteReference"/>
          <w:rFonts w:cstheme="minorHAnsi"/>
        </w:rPr>
        <w:t xml:space="preserve"> </w:t>
      </w:r>
      <w:r w:rsidR="00F651C6">
        <w:rPr>
          <w:rStyle w:val="FootnoteReference"/>
          <w:rFonts w:cstheme="minorHAnsi"/>
        </w:rPr>
        <w:footnoteReference w:id="3"/>
      </w:r>
    </w:p>
    <w:p w14:paraId="45BA4637" w14:textId="77777777" w:rsidR="003B1291" w:rsidRPr="00965AAA" w:rsidRDefault="003B1291" w:rsidP="003B1291">
      <w:pPr>
        <w:rPr>
          <w:rFonts w:cstheme="minorHAnsi"/>
          <w:i/>
          <w:iCs/>
        </w:rPr>
      </w:pPr>
    </w:p>
    <w:p w14:paraId="3C937C2F" w14:textId="426CE96B" w:rsidR="003B1291" w:rsidRPr="00965AAA" w:rsidRDefault="003B1291" w:rsidP="003B1291">
      <w:pPr>
        <w:pStyle w:val="ListParagraph"/>
        <w:numPr>
          <w:ilvl w:val="0"/>
          <w:numId w:val="6"/>
        </w:numPr>
        <w:rPr>
          <w:rFonts w:cstheme="minorHAnsi"/>
        </w:rPr>
      </w:pPr>
      <w:r w:rsidRPr="00965AAA">
        <w:rPr>
          <w:rFonts w:cstheme="minorHAnsi"/>
        </w:rPr>
        <w:t>In ch.10 Paul is drawing on</w:t>
      </w:r>
      <w:r w:rsidR="007D0664">
        <w:rPr>
          <w:rFonts w:cstheme="minorHAnsi"/>
        </w:rPr>
        <w:t xml:space="preserve"> (and presupposing)</w:t>
      </w:r>
      <w:r w:rsidRPr="00965AAA">
        <w:rPr>
          <w:rFonts w:cstheme="minorHAnsi"/>
        </w:rPr>
        <w:t xml:space="preserve"> the ancient understanding of sacrifice. The immediate context is ‘food offered to idols’ (</w:t>
      </w:r>
      <w:proofErr w:type="spellStart"/>
      <w:r w:rsidRPr="00965AAA">
        <w:rPr>
          <w:rFonts w:cstheme="minorHAnsi"/>
        </w:rPr>
        <w:t>chs</w:t>
      </w:r>
      <w:proofErr w:type="spellEnd"/>
      <w:r w:rsidRPr="00965AAA">
        <w:rPr>
          <w:rFonts w:cstheme="minorHAnsi"/>
        </w:rPr>
        <w:t xml:space="preserve"> 8—10). Sacrificial meals are both a way of </w:t>
      </w:r>
      <w:r w:rsidRPr="00965AAA">
        <w:rPr>
          <w:rFonts w:cstheme="minorHAnsi"/>
          <w:i/>
          <w:iCs/>
        </w:rPr>
        <w:t>sharing in</w:t>
      </w:r>
      <w:r w:rsidRPr="00965AAA">
        <w:rPr>
          <w:rFonts w:cstheme="minorHAnsi"/>
        </w:rPr>
        <w:t xml:space="preserve"> the life of the gods and a potent means of </w:t>
      </w:r>
      <w:r w:rsidRPr="00965AAA">
        <w:rPr>
          <w:rFonts w:cstheme="minorHAnsi"/>
          <w:i/>
          <w:iCs/>
        </w:rPr>
        <w:t>forming community</w:t>
      </w:r>
      <w:r w:rsidRPr="00965AAA">
        <w:rPr>
          <w:rFonts w:cstheme="minorHAnsi"/>
        </w:rPr>
        <w:t xml:space="preserve"> (10.18-22). The vertical dimension matters: eating makes you a ‘partner of the altar</w:t>
      </w:r>
      <w:r w:rsidR="007D0664">
        <w:rPr>
          <w:rFonts w:cstheme="minorHAnsi"/>
        </w:rPr>
        <w:t>,</w:t>
      </w:r>
      <w:r w:rsidRPr="00965AAA">
        <w:rPr>
          <w:rFonts w:cstheme="minorHAnsi"/>
        </w:rPr>
        <w:t xml:space="preserve">’ for good or ill (10.19-22). </w:t>
      </w:r>
    </w:p>
    <w:p w14:paraId="5A18E402" w14:textId="77777777" w:rsidR="003B1291" w:rsidRPr="00965AAA" w:rsidRDefault="003B1291" w:rsidP="003B1291">
      <w:pPr>
        <w:pStyle w:val="ListParagraph"/>
        <w:rPr>
          <w:rFonts w:cstheme="minorHAnsi"/>
        </w:rPr>
      </w:pPr>
    </w:p>
    <w:p w14:paraId="3CFF5567" w14:textId="5E750A69" w:rsidR="003B1291" w:rsidRDefault="007D0664" w:rsidP="00B57A30">
      <w:pPr>
        <w:pStyle w:val="ListParagraph"/>
        <w:numPr>
          <w:ilvl w:val="0"/>
          <w:numId w:val="6"/>
        </w:numPr>
        <w:rPr>
          <w:rFonts w:cstheme="minorHAnsi"/>
        </w:rPr>
      </w:pPr>
      <w:r w:rsidRPr="00020052">
        <w:rPr>
          <w:rFonts w:cstheme="minorHAnsi"/>
        </w:rPr>
        <w:t xml:space="preserve">This vertical </w:t>
      </w:r>
      <w:r w:rsidR="007C3755">
        <w:rPr>
          <w:rFonts w:cstheme="minorHAnsi"/>
        </w:rPr>
        <w:t>dimension</w:t>
      </w:r>
      <w:r w:rsidRPr="00020052">
        <w:rPr>
          <w:rFonts w:cstheme="minorHAnsi"/>
        </w:rPr>
        <w:t xml:space="preserve"> also has a temporal aspect, linking the present with the past in a chain of apostolic tradition. The dominical words of instruction in 11.23-32 link the church’s celebration with the Last Supper </w:t>
      </w:r>
      <w:r w:rsidR="007C3755">
        <w:rPr>
          <w:rFonts w:cstheme="minorHAnsi"/>
        </w:rPr>
        <w:t xml:space="preserve">of the Gospels </w:t>
      </w:r>
      <w:r w:rsidRPr="00020052">
        <w:rPr>
          <w:rFonts w:cstheme="minorHAnsi"/>
        </w:rPr>
        <w:t xml:space="preserve">via an act of </w:t>
      </w:r>
      <w:r w:rsidRPr="00020052">
        <w:rPr>
          <w:rFonts w:cstheme="minorHAnsi"/>
          <w:i/>
          <w:iCs/>
        </w:rPr>
        <w:t xml:space="preserve">anamnesis. </w:t>
      </w:r>
      <w:r w:rsidRPr="00020052">
        <w:rPr>
          <w:rFonts w:cstheme="minorHAnsi"/>
        </w:rPr>
        <w:t xml:space="preserve">What the church does at the Eucharist is in </w:t>
      </w:r>
      <w:r w:rsidR="00020052" w:rsidRPr="00020052">
        <w:rPr>
          <w:rFonts w:cstheme="minorHAnsi"/>
        </w:rPr>
        <w:t>obedient response to</w:t>
      </w:r>
      <w:r w:rsidRPr="00020052">
        <w:rPr>
          <w:rFonts w:cstheme="minorHAnsi"/>
        </w:rPr>
        <w:t xml:space="preserve"> the saving acts </w:t>
      </w:r>
      <w:r w:rsidR="00020052" w:rsidRPr="00020052">
        <w:rPr>
          <w:rFonts w:cstheme="minorHAnsi"/>
        </w:rPr>
        <w:t xml:space="preserve">to which Jesus points at the Last Supper: </w:t>
      </w:r>
      <w:r w:rsidR="007C3755">
        <w:rPr>
          <w:rFonts w:cstheme="minorHAnsi"/>
        </w:rPr>
        <w:t>‘</w:t>
      </w:r>
      <w:r w:rsidR="00020052" w:rsidRPr="00020052">
        <w:rPr>
          <w:rFonts w:cstheme="minorHAnsi"/>
        </w:rPr>
        <w:t>my body, my blood, given for you</w:t>
      </w:r>
      <w:r w:rsidR="00020052">
        <w:rPr>
          <w:rFonts w:cstheme="minorHAnsi"/>
        </w:rPr>
        <w:t>.’</w:t>
      </w:r>
    </w:p>
    <w:p w14:paraId="3AE72E74" w14:textId="77777777" w:rsidR="00020052" w:rsidRPr="00020052" w:rsidRDefault="00020052" w:rsidP="00020052">
      <w:pPr>
        <w:rPr>
          <w:rFonts w:cstheme="minorHAnsi"/>
        </w:rPr>
      </w:pPr>
    </w:p>
    <w:p w14:paraId="6C4DB20F" w14:textId="66BEAD8D" w:rsidR="00815445" w:rsidRDefault="00020052" w:rsidP="00020052">
      <w:pPr>
        <w:pStyle w:val="ListParagraph"/>
        <w:numPr>
          <w:ilvl w:val="0"/>
          <w:numId w:val="6"/>
        </w:numPr>
        <w:rPr>
          <w:rFonts w:cstheme="minorHAnsi"/>
        </w:rPr>
      </w:pPr>
      <w:r w:rsidRPr="00020052">
        <w:rPr>
          <w:rFonts w:cstheme="minorHAnsi"/>
        </w:rPr>
        <w:t>As at the Passover, the act of remembrance is in turn an act of appropriation of the saving acts of God</w:t>
      </w:r>
      <w:r w:rsidR="007D0664" w:rsidRPr="00020052">
        <w:rPr>
          <w:rFonts w:cstheme="minorHAnsi"/>
        </w:rPr>
        <w:t>.</w:t>
      </w:r>
      <w:r w:rsidR="007D0664" w:rsidRPr="00020052">
        <w:rPr>
          <w:rFonts w:cstheme="minorHAnsi"/>
          <w:i/>
          <w:iCs/>
        </w:rPr>
        <w:t xml:space="preserve"> </w:t>
      </w:r>
      <w:proofErr w:type="spellStart"/>
      <w:r w:rsidR="007C3755">
        <w:rPr>
          <w:rFonts w:cstheme="minorHAnsi"/>
        </w:rPr>
        <w:t>Thiselton</w:t>
      </w:r>
      <w:proofErr w:type="spellEnd"/>
      <w:r w:rsidR="007C3755">
        <w:rPr>
          <w:rFonts w:cstheme="minorHAnsi"/>
        </w:rPr>
        <w:t xml:space="preserve"> suggests that t</w:t>
      </w:r>
      <w:r>
        <w:rPr>
          <w:rFonts w:cstheme="minorHAnsi"/>
        </w:rPr>
        <w:t xml:space="preserve">his is the significance of ‘proclaiming the death of the Lord (v.26): ‘Each participant declares, proclaims or preaches in the breaking of bread that </w:t>
      </w:r>
      <w:r>
        <w:rPr>
          <w:rFonts w:cstheme="minorHAnsi"/>
          <w:i/>
          <w:iCs/>
        </w:rPr>
        <w:t>“Christ died,”</w:t>
      </w:r>
      <w:r>
        <w:rPr>
          <w:rFonts w:cstheme="minorHAnsi"/>
        </w:rPr>
        <w:t xml:space="preserve"> and in eating the bread and drinking from the cup that “Christ died </w:t>
      </w:r>
      <w:r>
        <w:rPr>
          <w:rFonts w:cstheme="minorHAnsi"/>
          <w:i/>
          <w:iCs/>
        </w:rPr>
        <w:t xml:space="preserve">for me”: I appropriate </w:t>
      </w:r>
      <w:r>
        <w:rPr>
          <w:rFonts w:cstheme="minorHAnsi"/>
        </w:rPr>
        <w:t xml:space="preserve">his death </w:t>
      </w:r>
      <w:r>
        <w:rPr>
          <w:rFonts w:cstheme="minorHAnsi"/>
          <w:i/>
          <w:iCs/>
        </w:rPr>
        <w:t xml:space="preserve">for me; </w:t>
      </w:r>
      <w:r>
        <w:rPr>
          <w:rFonts w:cstheme="minorHAnsi"/>
        </w:rPr>
        <w:t>I “take” Christ as “mine,” even as I take and receive broken bread and wine poured out.’</w:t>
      </w:r>
      <w:r>
        <w:rPr>
          <w:rStyle w:val="FootnoteReference"/>
          <w:rFonts w:cstheme="minorHAnsi"/>
        </w:rPr>
        <w:footnoteReference w:id="4"/>
      </w:r>
      <w:r>
        <w:rPr>
          <w:rFonts w:cstheme="minorHAnsi"/>
        </w:rPr>
        <w:t xml:space="preserve"> </w:t>
      </w:r>
      <w:r w:rsidR="00815445" w:rsidRPr="00020052">
        <w:rPr>
          <w:rFonts w:cstheme="minorHAnsi"/>
        </w:rPr>
        <w:t>It</w:t>
      </w:r>
      <w:r>
        <w:rPr>
          <w:rFonts w:cstheme="minorHAnsi"/>
        </w:rPr>
        <w:t xml:space="preserve"> is not </w:t>
      </w:r>
      <w:r w:rsidR="0028153D">
        <w:rPr>
          <w:rFonts w:cstheme="minorHAnsi"/>
        </w:rPr>
        <w:t>just</w:t>
      </w:r>
      <w:r>
        <w:rPr>
          <w:rFonts w:cstheme="minorHAnsi"/>
        </w:rPr>
        <w:t xml:space="preserve"> </w:t>
      </w:r>
      <w:r>
        <w:rPr>
          <w:rFonts w:cstheme="minorHAnsi"/>
        </w:rPr>
        <w:lastRenderedPageBreak/>
        <w:t xml:space="preserve">the preaching of the word </w:t>
      </w:r>
      <w:r w:rsidR="0028153D">
        <w:rPr>
          <w:rFonts w:cstheme="minorHAnsi"/>
        </w:rPr>
        <w:t>but</w:t>
      </w:r>
      <w:r>
        <w:rPr>
          <w:rFonts w:cstheme="minorHAnsi"/>
        </w:rPr>
        <w:t xml:space="preserve"> the </w:t>
      </w:r>
      <w:r w:rsidR="00F26B6D">
        <w:rPr>
          <w:rFonts w:cstheme="minorHAnsi"/>
        </w:rPr>
        <w:t xml:space="preserve">whole complex of sacramental actions, </w:t>
      </w:r>
      <w:r w:rsidR="00815445" w:rsidRPr="00020052">
        <w:rPr>
          <w:rFonts w:cstheme="minorHAnsi"/>
        </w:rPr>
        <w:t>the rite itself</w:t>
      </w:r>
      <w:r w:rsidR="00F26B6D">
        <w:rPr>
          <w:rFonts w:cstheme="minorHAnsi"/>
        </w:rPr>
        <w:t xml:space="preserve">, </w:t>
      </w:r>
      <w:r w:rsidR="00815445" w:rsidRPr="00020052">
        <w:rPr>
          <w:rFonts w:cstheme="minorHAnsi"/>
        </w:rPr>
        <w:t xml:space="preserve">that ‘proclaims’ </w:t>
      </w:r>
      <w:r w:rsidR="00F26B6D">
        <w:rPr>
          <w:rFonts w:cstheme="minorHAnsi"/>
        </w:rPr>
        <w:t>the Lord’s death.</w:t>
      </w:r>
    </w:p>
    <w:p w14:paraId="5CB8C991" w14:textId="77777777" w:rsidR="00F26B6D" w:rsidRPr="00F26B6D" w:rsidRDefault="00F26B6D" w:rsidP="00F26B6D">
      <w:pPr>
        <w:pStyle w:val="ListParagraph"/>
        <w:rPr>
          <w:rFonts w:cstheme="minorHAnsi"/>
        </w:rPr>
      </w:pPr>
    </w:p>
    <w:p w14:paraId="7BB4DB90" w14:textId="687CF4AC" w:rsidR="00815445" w:rsidRDefault="00F26B6D" w:rsidP="00754958">
      <w:pPr>
        <w:pStyle w:val="ListParagraph"/>
        <w:numPr>
          <w:ilvl w:val="0"/>
          <w:numId w:val="6"/>
        </w:numPr>
        <w:rPr>
          <w:rFonts w:cstheme="minorHAnsi"/>
        </w:rPr>
      </w:pPr>
      <w:r w:rsidRPr="00F26B6D">
        <w:rPr>
          <w:rFonts w:cstheme="minorHAnsi"/>
        </w:rPr>
        <w:t xml:space="preserve">And this in turn has an eschatological aspect. The eucharist ties the church into God’s eschatological future: it is a ritual of hope. It refuses to let “the present necessity” dominate the horizon. The presence-in-absence of the sacrament points to the real presence </w:t>
      </w:r>
      <w:r>
        <w:rPr>
          <w:rFonts w:cstheme="minorHAnsi"/>
        </w:rPr>
        <w:t>of the Christ who comes.</w:t>
      </w:r>
    </w:p>
    <w:p w14:paraId="62864718" w14:textId="77777777" w:rsidR="00F26B6D" w:rsidRPr="00F26B6D" w:rsidRDefault="00F26B6D" w:rsidP="00F26B6D">
      <w:pPr>
        <w:pStyle w:val="ListParagraph"/>
        <w:rPr>
          <w:rFonts w:cstheme="minorHAnsi"/>
        </w:rPr>
      </w:pPr>
    </w:p>
    <w:p w14:paraId="4F509C3A" w14:textId="3C14FA5A" w:rsidR="00F26B6D" w:rsidRDefault="0028153D" w:rsidP="00754958">
      <w:pPr>
        <w:pStyle w:val="ListParagraph"/>
        <w:numPr>
          <w:ilvl w:val="0"/>
          <w:numId w:val="6"/>
        </w:numPr>
        <w:rPr>
          <w:rFonts w:cstheme="minorHAnsi"/>
        </w:rPr>
      </w:pPr>
      <w:r>
        <w:rPr>
          <w:rFonts w:cstheme="minorHAnsi"/>
        </w:rPr>
        <w:t>So the ‘vertical’ dimension of the eucharist points to the ‘vertical’ dimension of the church: called by God (1.2, 9, 26-30); called to holiness (1.2; 3.17); God’s temple, the dwelling-place of God</w:t>
      </w:r>
      <w:r w:rsidR="0095270A">
        <w:rPr>
          <w:rFonts w:cstheme="minorHAnsi"/>
        </w:rPr>
        <w:t>’s Spirit</w:t>
      </w:r>
      <w:r>
        <w:rPr>
          <w:rFonts w:cstheme="minorHAnsi"/>
        </w:rPr>
        <w:t xml:space="preserve"> (3.16-17</w:t>
      </w:r>
      <w:r w:rsidR="0095270A">
        <w:rPr>
          <w:rFonts w:cstheme="minorHAnsi"/>
        </w:rPr>
        <w:t>; 6.19</w:t>
      </w:r>
      <w:r>
        <w:rPr>
          <w:rFonts w:cstheme="minorHAnsi"/>
        </w:rPr>
        <w:t>); God’s garden, God’s building (3.9); showered with the gifts of God’s Spirit (1.</w:t>
      </w:r>
      <w:r w:rsidR="0095270A">
        <w:rPr>
          <w:rFonts w:cstheme="minorHAnsi"/>
        </w:rPr>
        <w:t xml:space="preserve">5, 30; 2.12-14; 4.8; 12—14); the place where God is actively at work (12.4-6); a place where the casual visitor may truly exclaim, “God is really among you” (14.25). </w:t>
      </w:r>
    </w:p>
    <w:p w14:paraId="093C3B92" w14:textId="77777777" w:rsidR="007C3755" w:rsidRPr="007C3755" w:rsidRDefault="007C3755" w:rsidP="007C3755">
      <w:pPr>
        <w:pStyle w:val="ListParagraph"/>
        <w:rPr>
          <w:rFonts w:cstheme="minorHAnsi"/>
        </w:rPr>
      </w:pPr>
    </w:p>
    <w:p w14:paraId="0BD51967" w14:textId="17953401" w:rsidR="007C3755" w:rsidRDefault="007C3755" w:rsidP="00754958">
      <w:pPr>
        <w:pStyle w:val="ListParagraph"/>
        <w:numPr>
          <w:ilvl w:val="0"/>
          <w:numId w:val="6"/>
        </w:numPr>
        <w:rPr>
          <w:rFonts w:cstheme="minorHAnsi"/>
        </w:rPr>
      </w:pPr>
      <w:r>
        <w:rPr>
          <w:rFonts w:cstheme="minorHAnsi"/>
        </w:rPr>
        <w:t xml:space="preserve">And the materiality of the eucharist, the holiness of the body, points to the resurrection and the ultimate redemption of the whole created order in Christ (ch.15). </w:t>
      </w:r>
    </w:p>
    <w:p w14:paraId="6FF427BC" w14:textId="7AB265BF" w:rsidR="00AD3DB4" w:rsidRPr="0095270A" w:rsidRDefault="00AD3DB4" w:rsidP="0095270A">
      <w:pPr>
        <w:rPr>
          <w:rFonts w:cstheme="minorHAnsi"/>
        </w:rPr>
      </w:pPr>
    </w:p>
    <w:p w14:paraId="00174158" w14:textId="17328039" w:rsidR="000010F3" w:rsidRPr="00965AAA" w:rsidRDefault="000010F3">
      <w:pPr>
        <w:rPr>
          <w:rFonts w:cstheme="minorHAnsi"/>
        </w:rPr>
      </w:pPr>
    </w:p>
    <w:p w14:paraId="563A43E3" w14:textId="77777777" w:rsidR="00F0572F" w:rsidRPr="00965AAA" w:rsidRDefault="00F0572F">
      <w:pPr>
        <w:rPr>
          <w:rFonts w:cstheme="minorHAnsi"/>
        </w:rPr>
      </w:pPr>
    </w:p>
    <w:p w14:paraId="4F584A1D" w14:textId="77777777" w:rsidR="007C3755" w:rsidRDefault="0095270A" w:rsidP="0095270A">
      <w:pPr>
        <w:pStyle w:val="ListParagraph"/>
        <w:numPr>
          <w:ilvl w:val="0"/>
          <w:numId w:val="4"/>
        </w:numPr>
        <w:rPr>
          <w:rFonts w:cstheme="minorHAnsi"/>
          <w:b/>
          <w:bCs/>
        </w:rPr>
      </w:pPr>
      <w:r w:rsidRPr="0095270A">
        <w:rPr>
          <w:rFonts w:cstheme="minorHAnsi"/>
          <w:b/>
          <w:bCs/>
        </w:rPr>
        <w:t xml:space="preserve">A thoroughly biblical teaching on the Eucharist must do justice to both aspects of eucharistic practice, the ‘horizontal’ and the ‘vertical’. </w:t>
      </w:r>
    </w:p>
    <w:p w14:paraId="7197ECA0" w14:textId="668AC58D" w:rsidR="0095270A" w:rsidRPr="007C3755" w:rsidRDefault="0095270A" w:rsidP="007C3755">
      <w:pPr>
        <w:pStyle w:val="ListParagraph"/>
        <w:rPr>
          <w:rFonts w:cstheme="minorHAnsi"/>
        </w:rPr>
      </w:pPr>
      <w:r w:rsidRPr="007C3755">
        <w:rPr>
          <w:rFonts w:cstheme="minorHAnsi"/>
        </w:rPr>
        <w:t xml:space="preserve">Because of the nature of the present “necessity,” because the pandemic directly challenges both the sociality and the materiality of the Eucharist, our regulations naturally tend to focus on the material and social difficulties. Congregations too struggle to </w:t>
      </w:r>
      <w:r w:rsidR="00983964" w:rsidRPr="007C3755">
        <w:rPr>
          <w:rFonts w:cstheme="minorHAnsi"/>
        </w:rPr>
        <w:t>hold onto</w:t>
      </w:r>
      <w:r w:rsidRPr="007C3755">
        <w:rPr>
          <w:rFonts w:cstheme="minorHAnsi"/>
        </w:rPr>
        <w:t xml:space="preserve"> </w:t>
      </w:r>
      <w:r w:rsidR="00983964" w:rsidRPr="007C3755">
        <w:rPr>
          <w:rFonts w:cstheme="minorHAnsi"/>
        </w:rPr>
        <w:t>the “spiritual” in the welter of regulations and restrictions</w:t>
      </w:r>
      <w:r w:rsidR="007C3755">
        <w:rPr>
          <w:rFonts w:cstheme="minorHAnsi"/>
        </w:rPr>
        <w:t>,</w:t>
      </w:r>
      <w:r w:rsidR="00983964" w:rsidRPr="007C3755">
        <w:rPr>
          <w:rFonts w:cstheme="minorHAnsi"/>
        </w:rPr>
        <w:t xml:space="preserve"> </w:t>
      </w:r>
      <w:r w:rsidR="007C3755">
        <w:rPr>
          <w:rFonts w:cstheme="minorHAnsi"/>
        </w:rPr>
        <w:t xml:space="preserve">masks and hand sanitizers. </w:t>
      </w:r>
      <w:r w:rsidR="00983964" w:rsidRPr="007C3755">
        <w:rPr>
          <w:rFonts w:cstheme="minorHAnsi"/>
        </w:rPr>
        <w:t xml:space="preserve">There is a real danger </w:t>
      </w:r>
      <w:r w:rsidR="007C3755">
        <w:rPr>
          <w:rFonts w:cstheme="minorHAnsi"/>
        </w:rPr>
        <w:t>that in our (laudable and correct) desire to focus on the practical problems of maintaining the ‘horizontal’ aspects of worship, we shall lose sight of the ‘vertical’</w:t>
      </w:r>
      <w:r w:rsidR="00186914">
        <w:rPr>
          <w:rFonts w:cstheme="minorHAnsi"/>
        </w:rPr>
        <w:t xml:space="preserve"> and offer our congregations a diminished and one-sided theology of the eucharist.</w:t>
      </w:r>
    </w:p>
    <w:p w14:paraId="77404F81" w14:textId="77777777" w:rsidR="0095270A" w:rsidRPr="0095270A" w:rsidRDefault="0095270A" w:rsidP="0095270A">
      <w:pPr>
        <w:ind w:left="360"/>
        <w:rPr>
          <w:rFonts w:cstheme="minorHAnsi"/>
        </w:rPr>
      </w:pPr>
    </w:p>
    <w:p w14:paraId="4E700271" w14:textId="2C0ABE0D" w:rsidR="0095270A" w:rsidRPr="009769AD" w:rsidRDefault="007C3755" w:rsidP="0095270A">
      <w:pPr>
        <w:rPr>
          <w:rFonts w:cstheme="minorHAnsi"/>
        </w:rPr>
      </w:pPr>
      <w:r>
        <w:rPr>
          <w:rFonts w:cstheme="minorHAnsi"/>
        </w:rPr>
        <w:t>As a foil</w:t>
      </w:r>
      <w:r w:rsidR="009769AD">
        <w:rPr>
          <w:rFonts w:cstheme="minorHAnsi"/>
        </w:rPr>
        <w:t xml:space="preserve">, let me finish with </w:t>
      </w:r>
      <w:r w:rsidR="00186914">
        <w:rPr>
          <w:rFonts w:cstheme="minorHAnsi"/>
        </w:rPr>
        <w:t>the framework offered by</w:t>
      </w:r>
      <w:r w:rsidR="009769AD">
        <w:rPr>
          <w:rFonts w:cstheme="minorHAnsi"/>
        </w:rPr>
        <w:t xml:space="preserve"> a classic ecumenical statement on the meaning of the Eucharist, from the WCC Lima Document </w:t>
      </w:r>
      <w:r w:rsidR="009769AD">
        <w:rPr>
          <w:rFonts w:cstheme="minorHAnsi"/>
          <w:i/>
          <w:iCs/>
        </w:rPr>
        <w:t xml:space="preserve">Baptism, Eucharist and Ministry </w:t>
      </w:r>
      <w:r w:rsidR="009769AD">
        <w:rPr>
          <w:rFonts w:cstheme="minorHAnsi"/>
        </w:rPr>
        <w:t>(Geneva: World Council of Churches, 1982), pp.8-13.</w:t>
      </w:r>
    </w:p>
    <w:p w14:paraId="141EB955" w14:textId="3E0C6CC5" w:rsidR="00FC3107" w:rsidRPr="00965AAA" w:rsidRDefault="00F0572F" w:rsidP="00FC3107">
      <w:pPr>
        <w:pStyle w:val="NormalWeb"/>
        <w:rPr>
          <w:rFonts w:asciiTheme="minorHAnsi" w:hAnsiTheme="minorHAnsi" w:cstheme="minorHAnsi"/>
        </w:rPr>
      </w:pPr>
      <w:r w:rsidRPr="00965AAA">
        <w:rPr>
          <w:rFonts w:asciiTheme="minorHAnsi" w:hAnsiTheme="minorHAnsi" w:cstheme="minorHAnsi"/>
        </w:rPr>
        <w:t xml:space="preserve">BEM considers the meaning of the Eucharist under </w:t>
      </w:r>
      <w:r w:rsidR="00D1419D">
        <w:rPr>
          <w:rFonts w:asciiTheme="minorHAnsi" w:hAnsiTheme="minorHAnsi" w:cstheme="minorHAnsi"/>
        </w:rPr>
        <w:t>five</w:t>
      </w:r>
      <w:r w:rsidRPr="00965AAA">
        <w:rPr>
          <w:rFonts w:asciiTheme="minorHAnsi" w:hAnsiTheme="minorHAnsi" w:cstheme="minorHAnsi"/>
        </w:rPr>
        <w:t xml:space="preserve"> headings</w:t>
      </w:r>
      <w:r w:rsidR="00FC3107" w:rsidRPr="00965AAA">
        <w:rPr>
          <w:rFonts w:asciiTheme="minorHAnsi" w:hAnsiTheme="minorHAnsi" w:cstheme="minorHAnsi"/>
        </w:rPr>
        <w:t xml:space="preserve">. The bulk of this statement seeks to express the meaning of the Eucharist in terms of what I have called the ‘vertical’ relationship, expressed in Trinitarian terms: only one of the </w:t>
      </w:r>
      <w:r w:rsidR="00D1419D">
        <w:rPr>
          <w:rFonts w:asciiTheme="minorHAnsi" w:hAnsiTheme="minorHAnsi" w:cstheme="minorHAnsi"/>
        </w:rPr>
        <w:t>five</w:t>
      </w:r>
      <w:r w:rsidR="00FC3107" w:rsidRPr="00965AAA">
        <w:rPr>
          <w:rFonts w:asciiTheme="minorHAnsi" w:hAnsiTheme="minorHAnsi" w:cstheme="minorHAnsi"/>
        </w:rPr>
        <w:t xml:space="preserve"> is concerned with what I am calling the ‘horizontal’ or social aspect of communion.</w:t>
      </w:r>
    </w:p>
    <w:p w14:paraId="25545AB9" w14:textId="52C04964" w:rsidR="00D571AA" w:rsidRPr="00965AAA" w:rsidRDefault="00186914" w:rsidP="00FC3107">
      <w:pPr>
        <w:pStyle w:val="NormalWeb"/>
        <w:numPr>
          <w:ilvl w:val="0"/>
          <w:numId w:val="11"/>
        </w:numPr>
        <w:rPr>
          <w:rFonts w:asciiTheme="minorHAnsi" w:hAnsiTheme="minorHAnsi" w:cstheme="minorHAnsi"/>
        </w:rPr>
      </w:pPr>
      <w:r>
        <w:rPr>
          <w:rFonts w:asciiTheme="minorHAnsi" w:hAnsiTheme="minorHAnsi" w:cstheme="minorHAnsi"/>
          <w:b/>
          <w:bCs/>
          <w:i/>
          <w:iCs/>
        </w:rPr>
        <w:t xml:space="preserve">1. </w:t>
      </w:r>
      <w:r w:rsidR="00F0572F" w:rsidRPr="00965AAA">
        <w:rPr>
          <w:rFonts w:asciiTheme="minorHAnsi" w:hAnsiTheme="minorHAnsi" w:cstheme="minorHAnsi"/>
          <w:b/>
          <w:bCs/>
          <w:i/>
          <w:iCs/>
        </w:rPr>
        <w:t>Thanksgiving to the Father</w:t>
      </w:r>
      <w:r w:rsidR="00D571AA" w:rsidRPr="00965AAA">
        <w:rPr>
          <w:rFonts w:asciiTheme="minorHAnsi" w:hAnsiTheme="minorHAnsi" w:cstheme="minorHAnsi"/>
          <w:i/>
          <w:iCs/>
        </w:rPr>
        <w:t xml:space="preserve">: </w:t>
      </w:r>
      <w:r w:rsidR="00D571AA" w:rsidRPr="00965AAA">
        <w:rPr>
          <w:rFonts w:asciiTheme="minorHAnsi" w:hAnsiTheme="minorHAnsi" w:cstheme="minorHAnsi"/>
        </w:rPr>
        <w:t>A great act of thanksgiving to the Father, in which the Church’s prayer (‘speaking on behalf of the whole creation’) is included within the intercession of Christ (§4).</w:t>
      </w:r>
    </w:p>
    <w:p w14:paraId="401B0BBB" w14:textId="71FFEFBF" w:rsidR="00D571AA" w:rsidRPr="00965AAA" w:rsidRDefault="00186914" w:rsidP="00FC3107">
      <w:pPr>
        <w:pStyle w:val="NormalWeb"/>
        <w:numPr>
          <w:ilvl w:val="0"/>
          <w:numId w:val="11"/>
        </w:numPr>
        <w:rPr>
          <w:rFonts w:asciiTheme="minorHAnsi" w:hAnsiTheme="minorHAnsi" w:cstheme="minorHAnsi"/>
        </w:rPr>
      </w:pPr>
      <w:r>
        <w:rPr>
          <w:rFonts w:asciiTheme="minorHAnsi" w:hAnsiTheme="minorHAnsi" w:cstheme="minorHAnsi"/>
          <w:b/>
          <w:bCs/>
          <w:i/>
          <w:iCs/>
        </w:rPr>
        <w:t xml:space="preserve">2. </w:t>
      </w:r>
      <w:r w:rsidR="00F0572F" w:rsidRPr="00965AAA">
        <w:rPr>
          <w:rFonts w:asciiTheme="minorHAnsi" w:hAnsiTheme="minorHAnsi" w:cstheme="minorHAnsi"/>
          <w:b/>
          <w:bCs/>
          <w:i/>
          <w:iCs/>
        </w:rPr>
        <w:t>Anamnesis or Memorial of Christ</w:t>
      </w:r>
      <w:r w:rsidR="00D571AA" w:rsidRPr="00965AAA">
        <w:rPr>
          <w:rFonts w:asciiTheme="minorHAnsi" w:hAnsiTheme="minorHAnsi" w:cstheme="minorHAnsi"/>
          <w:b/>
          <w:bCs/>
          <w:i/>
          <w:iCs/>
        </w:rPr>
        <w:t>:</w:t>
      </w:r>
      <w:r w:rsidR="00D571AA" w:rsidRPr="00965AAA">
        <w:rPr>
          <w:rFonts w:asciiTheme="minorHAnsi" w:hAnsiTheme="minorHAnsi" w:cstheme="minorHAnsi"/>
          <w:i/>
          <w:iCs/>
        </w:rPr>
        <w:t xml:space="preserve"> </w:t>
      </w:r>
      <w:r w:rsidR="00D571AA" w:rsidRPr="00965AAA">
        <w:rPr>
          <w:rFonts w:asciiTheme="minorHAnsi" w:hAnsiTheme="minorHAnsi" w:cstheme="minorHAnsi"/>
        </w:rPr>
        <w:t xml:space="preserve">As the memorial of the crucified and risen Christ, the living and effective sign of his unique and unrepeatable sacrifice, </w:t>
      </w:r>
      <w:r w:rsidR="00D571AA" w:rsidRPr="00965AAA">
        <w:rPr>
          <w:rFonts w:asciiTheme="minorHAnsi" w:hAnsiTheme="minorHAnsi" w:cstheme="minorHAnsi"/>
        </w:rPr>
        <w:lastRenderedPageBreak/>
        <w:t>accomplished once and for all on the cross and still operative on behalf of all humankind’ (§5);</w:t>
      </w:r>
    </w:p>
    <w:p w14:paraId="2D0683F4" w14:textId="71E746CA" w:rsidR="00D571AA" w:rsidRPr="00965AAA" w:rsidRDefault="00186914" w:rsidP="00FC3107">
      <w:pPr>
        <w:pStyle w:val="NormalWeb"/>
        <w:numPr>
          <w:ilvl w:val="0"/>
          <w:numId w:val="11"/>
        </w:numPr>
        <w:rPr>
          <w:rFonts w:asciiTheme="minorHAnsi" w:hAnsiTheme="minorHAnsi" w:cstheme="minorHAnsi"/>
        </w:rPr>
      </w:pPr>
      <w:r>
        <w:rPr>
          <w:rFonts w:asciiTheme="minorHAnsi" w:hAnsiTheme="minorHAnsi" w:cstheme="minorHAnsi"/>
          <w:b/>
          <w:bCs/>
          <w:i/>
          <w:iCs/>
        </w:rPr>
        <w:t xml:space="preserve">3. </w:t>
      </w:r>
      <w:r w:rsidR="00F0572F" w:rsidRPr="00965AAA">
        <w:rPr>
          <w:rFonts w:asciiTheme="minorHAnsi" w:hAnsiTheme="minorHAnsi" w:cstheme="minorHAnsi"/>
          <w:b/>
          <w:bCs/>
          <w:i/>
          <w:iCs/>
        </w:rPr>
        <w:t>Invocation of the Spirit</w:t>
      </w:r>
      <w:r w:rsidR="00D571AA" w:rsidRPr="00965AAA">
        <w:rPr>
          <w:rFonts w:asciiTheme="minorHAnsi" w:hAnsiTheme="minorHAnsi" w:cstheme="minorHAnsi"/>
          <w:b/>
          <w:bCs/>
          <w:i/>
          <w:iCs/>
        </w:rPr>
        <w:t>:</w:t>
      </w:r>
      <w:r w:rsidR="00D571AA" w:rsidRPr="00965AAA">
        <w:rPr>
          <w:rFonts w:asciiTheme="minorHAnsi" w:hAnsiTheme="minorHAnsi" w:cstheme="minorHAnsi"/>
          <w:i/>
          <w:iCs/>
        </w:rPr>
        <w:t xml:space="preserve"> </w:t>
      </w:r>
      <w:r w:rsidR="00D571AA" w:rsidRPr="00965AAA">
        <w:rPr>
          <w:rFonts w:asciiTheme="minorHAnsi" w:hAnsiTheme="minorHAnsi" w:cstheme="minorHAnsi"/>
        </w:rPr>
        <w:t>The Spirit makes the crucified and risen Christ really present to</w:t>
      </w:r>
      <w:r w:rsidR="00FC3107" w:rsidRPr="00965AAA">
        <w:rPr>
          <w:rFonts w:asciiTheme="minorHAnsi" w:hAnsiTheme="minorHAnsi" w:cstheme="minorHAnsi"/>
        </w:rPr>
        <w:t xml:space="preserve"> </w:t>
      </w:r>
      <w:r w:rsidR="00D571AA" w:rsidRPr="00965AAA">
        <w:rPr>
          <w:rFonts w:asciiTheme="minorHAnsi" w:hAnsiTheme="minorHAnsi" w:cstheme="minorHAnsi"/>
        </w:rPr>
        <w:t xml:space="preserve">us in the eucharistic meal, fulfilling the promise contained in the words of institution. </w:t>
      </w:r>
    </w:p>
    <w:p w14:paraId="35AAF84F" w14:textId="5B5DC388" w:rsidR="00FC3107" w:rsidRPr="00965AAA" w:rsidRDefault="00186914" w:rsidP="00FC3107">
      <w:pPr>
        <w:pStyle w:val="NormalWeb"/>
        <w:numPr>
          <w:ilvl w:val="0"/>
          <w:numId w:val="11"/>
        </w:numPr>
        <w:rPr>
          <w:rFonts w:asciiTheme="minorHAnsi" w:hAnsiTheme="minorHAnsi" w:cstheme="minorHAnsi"/>
        </w:rPr>
      </w:pPr>
      <w:r>
        <w:rPr>
          <w:rFonts w:asciiTheme="minorHAnsi" w:hAnsiTheme="minorHAnsi" w:cstheme="minorHAnsi"/>
          <w:b/>
          <w:bCs/>
          <w:i/>
          <w:iCs/>
        </w:rPr>
        <w:t xml:space="preserve">4. </w:t>
      </w:r>
      <w:r w:rsidR="00F0572F" w:rsidRPr="00965AAA">
        <w:rPr>
          <w:rFonts w:asciiTheme="minorHAnsi" w:hAnsiTheme="minorHAnsi" w:cstheme="minorHAnsi"/>
          <w:b/>
          <w:bCs/>
          <w:i/>
          <w:iCs/>
        </w:rPr>
        <w:t>Communion of the Faithful</w:t>
      </w:r>
      <w:r w:rsidR="00FC3107" w:rsidRPr="00965AAA">
        <w:rPr>
          <w:rFonts w:asciiTheme="minorHAnsi" w:hAnsiTheme="minorHAnsi" w:cstheme="minorHAnsi"/>
          <w:b/>
          <w:bCs/>
          <w:i/>
          <w:iCs/>
        </w:rPr>
        <w:t>,</w:t>
      </w:r>
      <w:r w:rsidR="00FC3107" w:rsidRPr="00965AAA">
        <w:rPr>
          <w:rFonts w:asciiTheme="minorHAnsi" w:hAnsiTheme="minorHAnsi" w:cstheme="minorHAnsi"/>
          <w:i/>
          <w:iCs/>
        </w:rPr>
        <w:t xml:space="preserve"> </w:t>
      </w:r>
      <w:r w:rsidR="00FC3107" w:rsidRPr="00965AAA">
        <w:rPr>
          <w:rFonts w:asciiTheme="minorHAnsi" w:hAnsiTheme="minorHAnsi" w:cstheme="minorHAnsi"/>
        </w:rPr>
        <w:t xml:space="preserve">expressed in </w:t>
      </w:r>
      <w:r w:rsidR="00D571AA" w:rsidRPr="00965AAA">
        <w:rPr>
          <w:rFonts w:asciiTheme="minorHAnsi" w:hAnsiTheme="minorHAnsi" w:cstheme="minorHAnsi"/>
        </w:rPr>
        <w:t xml:space="preserve">‘the oneness of the sharers with Christ and with their fellow sharers in all times and places’ (§19); ‘reconciliation and sharing among all those regarded as brothers and sisters in the one family of God’ (§20); and ‘a constant challenge in the search for appropriate relationships in social, economic and political life’ (§20). </w:t>
      </w:r>
    </w:p>
    <w:p w14:paraId="5325AA52" w14:textId="0CC2E0B2" w:rsidR="006A539C" w:rsidRPr="00965AAA" w:rsidRDefault="00186914" w:rsidP="00FC3107">
      <w:pPr>
        <w:pStyle w:val="NormalWeb"/>
        <w:numPr>
          <w:ilvl w:val="0"/>
          <w:numId w:val="11"/>
        </w:numPr>
        <w:rPr>
          <w:rFonts w:asciiTheme="minorHAnsi" w:hAnsiTheme="minorHAnsi" w:cstheme="minorHAnsi"/>
        </w:rPr>
      </w:pPr>
      <w:r>
        <w:rPr>
          <w:rFonts w:asciiTheme="minorHAnsi" w:hAnsiTheme="minorHAnsi" w:cstheme="minorHAnsi"/>
          <w:b/>
          <w:bCs/>
          <w:i/>
          <w:iCs/>
        </w:rPr>
        <w:t xml:space="preserve">5. </w:t>
      </w:r>
      <w:r w:rsidR="00FC3107" w:rsidRPr="00965AAA">
        <w:rPr>
          <w:rFonts w:asciiTheme="minorHAnsi" w:hAnsiTheme="minorHAnsi" w:cstheme="minorHAnsi"/>
          <w:b/>
          <w:bCs/>
          <w:i/>
          <w:iCs/>
        </w:rPr>
        <w:t>Meal of the Kingdom:</w:t>
      </w:r>
      <w:r w:rsidR="00FC3107" w:rsidRPr="00965AAA">
        <w:rPr>
          <w:rFonts w:asciiTheme="minorHAnsi" w:hAnsiTheme="minorHAnsi" w:cstheme="minorHAnsi"/>
          <w:i/>
          <w:iCs/>
        </w:rPr>
        <w:t xml:space="preserve"> </w:t>
      </w:r>
      <w:r w:rsidR="00FC3107" w:rsidRPr="00965AAA">
        <w:rPr>
          <w:rFonts w:asciiTheme="minorHAnsi" w:hAnsiTheme="minorHAnsi" w:cstheme="minorHAnsi"/>
        </w:rPr>
        <w:t xml:space="preserve">The eucharist </w:t>
      </w:r>
      <w:r>
        <w:rPr>
          <w:rFonts w:asciiTheme="minorHAnsi" w:hAnsiTheme="minorHAnsi" w:cstheme="minorHAnsi"/>
        </w:rPr>
        <w:t xml:space="preserve">as </w:t>
      </w:r>
      <w:r w:rsidR="00FC3107" w:rsidRPr="00965AAA">
        <w:rPr>
          <w:rFonts w:asciiTheme="minorHAnsi" w:hAnsiTheme="minorHAnsi" w:cstheme="minorHAnsi"/>
        </w:rPr>
        <w:t xml:space="preserve">the feast at which the Church joyfully celebrates and anticipates the coming of the Kingdom in Christ (I Cor. 11:26; Matt. 26:29), a foretaste of the divine rule which has been promised as the final renewal of creation. It brings into the present age a new reality which transforms Christians into the image of Christ and therefore makes them his effective witnesses. </w:t>
      </w:r>
      <w:r>
        <w:rPr>
          <w:rFonts w:asciiTheme="minorHAnsi" w:hAnsiTheme="minorHAnsi" w:cstheme="minorHAnsi"/>
        </w:rPr>
        <w:t>It</w:t>
      </w:r>
      <w:r w:rsidR="00FC3107" w:rsidRPr="00965AAA">
        <w:rPr>
          <w:rFonts w:asciiTheme="minorHAnsi" w:hAnsiTheme="minorHAnsi" w:cstheme="minorHAnsi"/>
        </w:rPr>
        <w:t xml:space="preserve"> is precious food for missionaries, bread and wine for pilgrims on their apostolic journey.</w:t>
      </w:r>
    </w:p>
    <w:p w14:paraId="34CDEE5E" w14:textId="7DB586F2" w:rsidR="00946122" w:rsidRDefault="00946122">
      <w:pPr>
        <w:rPr>
          <w:rFonts w:cstheme="minorHAnsi"/>
        </w:rPr>
      </w:pPr>
    </w:p>
    <w:p w14:paraId="3806F9C3" w14:textId="7EA86D73" w:rsidR="00D1419D" w:rsidRDefault="00D1419D">
      <w:pPr>
        <w:rPr>
          <w:rFonts w:cstheme="minorHAnsi"/>
        </w:rPr>
      </w:pPr>
    </w:p>
    <w:p w14:paraId="1E7BDD26" w14:textId="10DFC4C3" w:rsidR="00D1419D" w:rsidRDefault="00D1419D">
      <w:pPr>
        <w:rPr>
          <w:rFonts w:cstheme="minorHAnsi"/>
        </w:rPr>
      </w:pPr>
    </w:p>
    <w:p w14:paraId="738C2B07" w14:textId="77777777" w:rsidR="00D1419D" w:rsidRPr="00965AAA" w:rsidRDefault="00D1419D">
      <w:pPr>
        <w:rPr>
          <w:rFonts w:cstheme="minorHAnsi"/>
        </w:rPr>
      </w:pPr>
    </w:p>
    <w:p w14:paraId="038AF035" w14:textId="042DD495" w:rsidR="00946122" w:rsidRPr="00965AAA" w:rsidRDefault="00946122">
      <w:pPr>
        <w:rPr>
          <w:rFonts w:cstheme="minorHAnsi"/>
        </w:rPr>
      </w:pPr>
    </w:p>
    <w:p w14:paraId="2E41EF3C" w14:textId="5F0BEFDD" w:rsidR="00815445" w:rsidRPr="00D1419D" w:rsidRDefault="00946122" w:rsidP="00D1419D">
      <w:pPr>
        <w:pStyle w:val="ListParagraph"/>
        <w:numPr>
          <w:ilvl w:val="0"/>
          <w:numId w:val="4"/>
        </w:numPr>
        <w:rPr>
          <w:rFonts w:cstheme="minorHAnsi"/>
          <w:b/>
          <w:bCs/>
        </w:rPr>
      </w:pPr>
      <w:r w:rsidRPr="00D1419D">
        <w:rPr>
          <w:rFonts w:cstheme="minorHAnsi"/>
          <w:b/>
          <w:bCs/>
        </w:rPr>
        <w:t>Postscript.</w:t>
      </w:r>
      <w:r w:rsidR="006847B1" w:rsidRPr="00D1419D">
        <w:rPr>
          <w:rFonts w:cstheme="minorHAnsi"/>
          <w:b/>
          <w:bCs/>
        </w:rPr>
        <w:t xml:space="preserve"> </w:t>
      </w:r>
      <w:r w:rsidR="00815445" w:rsidRPr="00D1419D">
        <w:rPr>
          <w:rFonts w:cstheme="minorHAnsi"/>
          <w:b/>
          <w:bCs/>
        </w:rPr>
        <w:t xml:space="preserve">R. </w:t>
      </w:r>
      <w:proofErr w:type="spellStart"/>
      <w:r w:rsidR="00815445" w:rsidRPr="00D1419D">
        <w:rPr>
          <w:rFonts w:cstheme="minorHAnsi"/>
          <w:b/>
          <w:bCs/>
        </w:rPr>
        <w:t>Johanan</w:t>
      </w:r>
      <w:proofErr w:type="spellEnd"/>
      <w:r w:rsidR="00815445" w:rsidRPr="00D1419D">
        <w:rPr>
          <w:rFonts w:cstheme="minorHAnsi"/>
          <w:b/>
          <w:bCs/>
        </w:rPr>
        <w:t>.</w:t>
      </w:r>
    </w:p>
    <w:p w14:paraId="3F0F2089" w14:textId="425FF638" w:rsidR="00C202C6" w:rsidRPr="00965AAA" w:rsidRDefault="00C202C6" w:rsidP="00946122">
      <w:pPr>
        <w:ind w:left="720"/>
        <w:rPr>
          <w:rFonts w:cstheme="minorHAnsi"/>
          <w:b/>
          <w:bCs/>
        </w:rPr>
      </w:pPr>
    </w:p>
    <w:p w14:paraId="19FB1CFB" w14:textId="77777777" w:rsidR="00C202C6" w:rsidRPr="00965AAA" w:rsidRDefault="00C202C6" w:rsidP="00C202C6">
      <w:pPr>
        <w:pBdr>
          <w:top w:val="single" w:sz="4" w:space="1" w:color="auto"/>
          <w:left w:val="single" w:sz="4" w:space="4" w:color="auto"/>
          <w:bottom w:val="single" w:sz="4" w:space="1" w:color="auto"/>
          <w:right w:val="single" w:sz="4" w:space="4" w:color="auto"/>
        </w:pBdr>
        <w:ind w:left="1134" w:right="362"/>
        <w:rPr>
          <w:rFonts w:cstheme="minorHAnsi"/>
        </w:rPr>
      </w:pPr>
      <w:r w:rsidRPr="00965AAA">
        <w:rPr>
          <w:rFonts w:cstheme="minorHAnsi"/>
        </w:rPr>
        <w:t xml:space="preserve">Once Rabbi </w:t>
      </w:r>
      <w:proofErr w:type="spellStart"/>
      <w:r w:rsidRPr="00965AAA">
        <w:rPr>
          <w:rFonts w:cstheme="minorHAnsi"/>
        </w:rPr>
        <w:t>Johanan</w:t>
      </w:r>
      <w:proofErr w:type="spellEnd"/>
      <w:r w:rsidRPr="00965AAA">
        <w:rPr>
          <w:rFonts w:cstheme="minorHAnsi"/>
        </w:rPr>
        <w:t xml:space="preserve"> ben </w:t>
      </w:r>
      <w:proofErr w:type="spellStart"/>
      <w:r w:rsidRPr="00965AAA">
        <w:rPr>
          <w:rFonts w:cstheme="minorHAnsi"/>
        </w:rPr>
        <w:t>Zakkai</w:t>
      </w:r>
      <w:proofErr w:type="spellEnd"/>
      <w:r w:rsidRPr="00965AAA">
        <w:rPr>
          <w:rFonts w:cstheme="minorHAnsi"/>
        </w:rPr>
        <w:t xml:space="preserve"> was leaving Jerusalem and Rabbi Joshua was following him. He saw the Temple destroyed. Rabbi Joshua said, Woe to us that the temple is destroyed— the place where the sins of Israel were atoned. He told him: My son, don’t be in sorrow, we have one atonement equal to it. It is charity, since it is said, ‘I desired charity not sacrifice’. (</w:t>
      </w:r>
      <w:proofErr w:type="spellStart"/>
      <w:r w:rsidRPr="00965AAA">
        <w:rPr>
          <w:rFonts w:cstheme="minorHAnsi"/>
          <w:i/>
        </w:rPr>
        <w:t>Avot</w:t>
      </w:r>
      <w:proofErr w:type="spellEnd"/>
      <w:r w:rsidRPr="00965AAA">
        <w:rPr>
          <w:rFonts w:cstheme="minorHAnsi"/>
          <w:i/>
        </w:rPr>
        <w:t xml:space="preserve"> de-Rabbi Nathan, version 1, ch.4)</w:t>
      </w:r>
    </w:p>
    <w:p w14:paraId="7675A300" w14:textId="77777777" w:rsidR="00C202C6" w:rsidRPr="00965AAA" w:rsidRDefault="00C202C6" w:rsidP="00946122">
      <w:pPr>
        <w:ind w:left="720"/>
        <w:rPr>
          <w:rFonts w:cstheme="minorHAnsi"/>
          <w:b/>
          <w:bCs/>
        </w:rPr>
      </w:pPr>
    </w:p>
    <w:p w14:paraId="6D411BDD" w14:textId="24269DE6" w:rsidR="00946122" w:rsidRDefault="006847B1">
      <w:pPr>
        <w:rPr>
          <w:rFonts w:cstheme="minorHAnsi"/>
        </w:rPr>
      </w:pPr>
      <w:r>
        <w:rPr>
          <w:rFonts w:cstheme="minorHAnsi"/>
        </w:rPr>
        <w:t>A watershed moment in the life of the Jewish community — an emergency that became permanent. The loss of the Jerusalem Temple struck at the very heart of ancient Judaism. But Judaism found a way to survive — how?</w:t>
      </w:r>
    </w:p>
    <w:p w14:paraId="1D9E2D46" w14:textId="583B91FF" w:rsidR="006847B1" w:rsidRDefault="006847B1">
      <w:pPr>
        <w:rPr>
          <w:rFonts w:cstheme="minorHAnsi"/>
        </w:rPr>
      </w:pPr>
    </w:p>
    <w:p w14:paraId="005CCCFD" w14:textId="2951CE64" w:rsidR="006847B1" w:rsidRDefault="006847B1" w:rsidP="006847B1">
      <w:pPr>
        <w:pStyle w:val="ListParagraph"/>
        <w:numPr>
          <w:ilvl w:val="0"/>
          <w:numId w:val="14"/>
        </w:numPr>
        <w:rPr>
          <w:rFonts w:cstheme="minorHAnsi"/>
        </w:rPr>
      </w:pPr>
      <w:r>
        <w:rPr>
          <w:rFonts w:cstheme="minorHAnsi"/>
        </w:rPr>
        <w:t>By skilful and perceptive leadership</w:t>
      </w:r>
    </w:p>
    <w:p w14:paraId="01BAAD1A" w14:textId="77777777" w:rsidR="00BA028A" w:rsidRDefault="00BA028A" w:rsidP="00BA028A">
      <w:pPr>
        <w:pStyle w:val="ListParagraph"/>
        <w:numPr>
          <w:ilvl w:val="0"/>
          <w:numId w:val="14"/>
        </w:numPr>
        <w:rPr>
          <w:rFonts w:cstheme="minorHAnsi"/>
        </w:rPr>
      </w:pPr>
      <w:r>
        <w:rPr>
          <w:rFonts w:cstheme="minorHAnsi"/>
        </w:rPr>
        <w:t>By drawing on the strategies of survival already embedded in scripture and tradition.</w:t>
      </w:r>
      <w:r>
        <w:rPr>
          <w:rStyle w:val="FootnoteReference"/>
          <w:rFonts w:cstheme="minorHAnsi"/>
        </w:rPr>
        <w:footnoteReference w:id="5"/>
      </w:r>
    </w:p>
    <w:p w14:paraId="5B3BC544" w14:textId="30B398E2" w:rsidR="006847B1" w:rsidRDefault="006847B1" w:rsidP="006847B1">
      <w:pPr>
        <w:pStyle w:val="ListParagraph"/>
        <w:numPr>
          <w:ilvl w:val="0"/>
          <w:numId w:val="14"/>
        </w:numPr>
        <w:rPr>
          <w:rFonts w:cstheme="minorHAnsi"/>
        </w:rPr>
      </w:pPr>
      <w:r>
        <w:rPr>
          <w:rFonts w:cstheme="minorHAnsi"/>
        </w:rPr>
        <w:t>By listening to the margins</w:t>
      </w:r>
    </w:p>
    <w:p w14:paraId="5C55BB05" w14:textId="39074A21" w:rsidR="006847B1" w:rsidRDefault="006847B1" w:rsidP="006847B1">
      <w:pPr>
        <w:pStyle w:val="ListParagraph"/>
        <w:numPr>
          <w:ilvl w:val="0"/>
          <w:numId w:val="14"/>
        </w:numPr>
        <w:rPr>
          <w:rFonts w:cstheme="minorHAnsi"/>
        </w:rPr>
      </w:pPr>
      <w:r>
        <w:rPr>
          <w:rFonts w:cstheme="minorHAnsi"/>
        </w:rPr>
        <w:t>By allowing space for lament</w:t>
      </w:r>
    </w:p>
    <w:p w14:paraId="3C9DC50F" w14:textId="77777777" w:rsidR="00BA028A" w:rsidRDefault="0077204E" w:rsidP="00BA028A">
      <w:pPr>
        <w:pStyle w:val="ListParagraph"/>
        <w:numPr>
          <w:ilvl w:val="0"/>
          <w:numId w:val="14"/>
        </w:numPr>
        <w:rPr>
          <w:rFonts w:cstheme="minorHAnsi"/>
        </w:rPr>
      </w:pPr>
      <w:r>
        <w:rPr>
          <w:rFonts w:cstheme="minorHAnsi"/>
        </w:rPr>
        <w:t>By constructing liturgies of hope.</w:t>
      </w:r>
      <w:r w:rsidR="00BA028A" w:rsidRPr="00BA028A">
        <w:rPr>
          <w:rFonts w:cstheme="minorHAnsi"/>
        </w:rPr>
        <w:t xml:space="preserve"> </w:t>
      </w:r>
    </w:p>
    <w:p w14:paraId="67B3B1B9" w14:textId="0E4C460A" w:rsidR="006847B1" w:rsidRPr="00BA028A" w:rsidRDefault="006847B1" w:rsidP="00BA028A">
      <w:pPr>
        <w:rPr>
          <w:rFonts w:cstheme="minorHAnsi"/>
        </w:rPr>
      </w:pPr>
    </w:p>
    <w:sectPr w:rsidR="006847B1" w:rsidRPr="00BA028A" w:rsidSect="00FE5A71">
      <w:headerReference w:type="even" r:id="rId8"/>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5EE6C" w14:textId="77777777" w:rsidR="003A645D" w:rsidRDefault="003A645D" w:rsidP="00820281">
      <w:r>
        <w:separator/>
      </w:r>
    </w:p>
  </w:endnote>
  <w:endnote w:type="continuationSeparator" w:id="0">
    <w:p w14:paraId="5BEC7779" w14:textId="77777777" w:rsidR="003A645D" w:rsidRDefault="003A645D" w:rsidP="0082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FA26A" w14:textId="3441DC38" w:rsidR="00BA028A" w:rsidRDefault="00BA028A">
    <w:pPr>
      <w:pStyle w:val="Footer"/>
    </w:pPr>
    <w:r>
      <w:t>Loveday Alexander</w:t>
    </w:r>
    <w:r>
      <w:tab/>
    </w:r>
    <w:r>
      <w:tab/>
      <w:t>25 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DA78C" w14:textId="77777777" w:rsidR="003A645D" w:rsidRDefault="003A645D" w:rsidP="00820281">
      <w:r>
        <w:separator/>
      </w:r>
    </w:p>
  </w:footnote>
  <w:footnote w:type="continuationSeparator" w:id="0">
    <w:p w14:paraId="31A03AA8" w14:textId="77777777" w:rsidR="003A645D" w:rsidRDefault="003A645D" w:rsidP="00820281">
      <w:r>
        <w:continuationSeparator/>
      </w:r>
    </w:p>
  </w:footnote>
  <w:footnote w:id="1">
    <w:p w14:paraId="3C295D29" w14:textId="34141F36" w:rsidR="00965AAA" w:rsidRDefault="00965AAA" w:rsidP="00965AAA">
      <w:r w:rsidRPr="00965AAA">
        <w:rPr>
          <w:rStyle w:val="FootnoteReference"/>
        </w:rPr>
        <w:footnoteRef/>
      </w:r>
      <w:r w:rsidRPr="00965AAA">
        <w:t xml:space="preserve"> </w:t>
      </w:r>
      <w:r w:rsidRPr="00965AAA">
        <w:rPr>
          <w:sz w:val="21"/>
          <w:szCs w:val="21"/>
        </w:rPr>
        <w:t>Cited from +Pierre Whalon, ‘Digital or Physical? The debate around the celebration of the Holy Communion online,’ p.5: ‘I was privileged to take part in a conversation at the first audience of Pope Benedict XVI in 2005 with my then-colleague, the late Geoffrey Rowell, Bishop of Gibraltar in Europe (we were representing our two churches). Bishop Rowell inquired whether His Holiness still held to the opinion that John Calvin’s theology of the Eucharist is actually quite close to modern Roman Catholic theology.</w:t>
      </w:r>
      <w:r w:rsidRPr="00965AAA">
        <w:rPr>
          <w:rStyle w:val="FootnoteReference"/>
          <w:sz w:val="21"/>
          <w:szCs w:val="21"/>
        </w:rPr>
        <w:footnoteRef/>
      </w:r>
      <w:r w:rsidRPr="00965AAA">
        <w:rPr>
          <w:sz w:val="21"/>
          <w:szCs w:val="21"/>
        </w:rPr>
        <w:t xml:space="preserve"> The Pope assured us that he did, and he added that even for “free” (nondenominational) churches, “the communion they celebrate is not nothing”.’</w:t>
      </w:r>
    </w:p>
    <w:p w14:paraId="6012022D" w14:textId="19E7B2AE" w:rsidR="00965AAA" w:rsidRPr="00965AAA" w:rsidRDefault="00965AAA" w:rsidP="00965AAA"/>
    <w:p w14:paraId="2DEA68F7" w14:textId="7C64BE52" w:rsidR="00965AAA" w:rsidRPr="00965AAA" w:rsidRDefault="00965AAA" w:rsidP="00965AAA"/>
    <w:p w14:paraId="45F0F13B" w14:textId="14C9A5CC" w:rsidR="00965AAA" w:rsidRDefault="00965AAA">
      <w:pPr>
        <w:pStyle w:val="FootnoteText"/>
      </w:pPr>
    </w:p>
  </w:footnote>
  <w:footnote w:id="2">
    <w:p w14:paraId="24B9C8C4" w14:textId="2DE91789" w:rsidR="00B66A33" w:rsidRPr="00F651C6" w:rsidRDefault="00B66A33">
      <w:pPr>
        <w:pStyle w:val="FootnoteText"/>
      </w:pPr>
      <w:r>
        <w:rPr>
          <w:rStyle w:val="FootnoteReference"/>
        </w:rPr>
        <w:footnoteRef/>
      </w:r>
      <w:r>
        <w:t xml:space="preserve"> </w:t>
      </w:r>
      <w:r w:rsidR="00F651C6">
        <w:t xml:space="preserve">The classic study is Gerd </w:t>
      </w:r>
      <w:proofErr w:type="spellStart"/>
      <w:r>
        <w:t>Theissen</w:t>
      </w:r>
      <w:proofErr w:type="spellEnd"/>
      <w:r w:rsidR="00F651C6">
        <w:t xml:space="preserve">, </w:t>
      </w:r>
      <w:r w:rsidR="00F651C6">
        <w:rPr>
          <w:i/>
          <w:iCs/>
        </w:rPr>
        <w:t xml:space="preserve">The Social Setting of Pauline Christianity </w:t>
      </w:r>
      <w:r w:rsidR="00F651C6">
        <w:t>(Edinburgh: T &amp; T Clark, 1982), ch.4.</w:t>
      </w:r>
    </w:p>
  </w:footnote>
  <w:footnote w:id="3">
    <w:p w14:paraId="18C7E842" w14:textId="24CCA66F" w:rsidR="00F651C6" w:rsidRDefault="00F651C6" w:rsidP="00F651C6">
      <w:pPr>
        <w:pStyle w:val="FootnoteText"/>
      </w:pPr>
      <w:r>
        <w:rPr>
          <w:rStyle w:val="FootnoteReference"/>
        </w:rPr>
        <w:footnoteRef/>
      </w:r>
      <w:r>
        <w:t xml:space="preserve"> Anthony </w:t>
      </w:r>
      <w:proofErr w:type="spellStart"/>
      <w:r>
        <w:t>Thiselton</w:t>
      </w:r>
      <w:proofErr w:type="spellEnd"/>
      <w:r>
        <w:t xml:space="preserve">, </w:t>
      </w:r>
      <w:r w:rsidRPr="00F651C6">
        <w:rPr>
          <w:i/>
          <w:iCs/>
        </w:rPr>
        <w:t>1 Corinthians: A Shorter Exegetical and Pastoral Commentary</w:t>
      </w:r>
      <w:r>
        <w:t xml:space="preserve"> (Grand Rapids: Eerdmans 2006), p.158.</w:t>
      </w:r>
    </w:p>
  </w:footnote>
  <w:footnote w:id="4">
    <w:p w14:paraId="4F3A0EB8" w14:textId="08CEEBAD" w:rsidR="00020052" w:rsidRDefault="00020052">
      <w:pPr>
        <w:pStyle w:val="FootnoteText"/>
      </w:pPr>
      <w:r>
        <w:rPr>
          <w:rStyle w:val="FootnoteReference"/>
        </w:rPr>
        <w:footnoteRef/>
      </w:r>
      <w:r>
        <w:t xml:space="preserve"> </w:t>
      </w:r>
      <w:proofErr w:type="spellStart"/>
      <w:r>
        <w:t>Thiselton</w:t>
      </w:r>
      <w:proofErr w:type="spellEnd"/>
      <w:r w:rsidR="00F651C6">
        <w:t xml:space="preserve">, </w:t>
      </w:r>
      <w:r w:rsidR="00F651C6">
        <w:rPr>
          <w:i/>
          <w:iCs/>
        </w:rPr>
        <w:t>1 Corinthians</w:t>
      </w:r>
      <w:r>
        <w:t xml:space="preserve"> </w:t>
      </w:r>
      <w:r w:rsidR="007C3755">
        <w:t>p.</w:t>
      </w:r>
      <w:r>
        <w:t>185.</w:t>
      </w:r>
    </w:p>
  </w:footnote>
  <w:footnote w:id="5">
    <w:p w14:paraId="718F79F0" w14:textId="77777777" w:rsidR="00BA028A" w:rsidRDefault="00BA028A" w:rsidP="00BA028A">
      <w:r>
        <w:rPr>
          <w:rStyle w:val="FootnoteReference"/>
        </w:rPr>
        <w:footnoteRef/>
      </w:r>
      <w:r>
        <w:t xml:space="preserve"> </w:t>
      </w:r>
      <w:r w:rsidRPr="00BA028A">
        <w:rPr>
          <w:sz w:val="21"/>
          <w:szCs w:val="21"/>
        </w:rPr>
        <w:t xml:space="preserve">Mark Brett and Rachelle Gilmour, ‘Worship in exile as an ‘essential service,’ </w:t>
      </w:r>
      <w:hyperlink r:id="rId1" w:history="1">
        <w:r w:rsidRPr="00BA028A">
          <w:rPr>
            <w:rStyle w:val="Hyperlink"/>
            <w:sz w:val="21"/>
            <w:szCs w:val="21"/>
          </w:rPr>
          <w:t>https://www.abc.net.au/religion/hebrew-bible-worship-in-exile-as-essential-service/12102306?fbclid=IwAR2oCMhx0YyIP_r7SVfY2tRGpycGETtkOzWMhS2Sh0wqPrRclw-SY1nANeQ</w:t>
        </w:r>
      </w:hyperlink>
    </w:p>
    <w:p w14:paraId="2845CE93" w14:textId="77777777" w:rsidR="00BA028A" w:rsidRDefault="00BA028A" w:rsidP="00BA028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1071484"/>
      <w:docPartObj>
        <w:docPartGallery w:val="Page Numbers (Top of Page)"/>
        <w:docPartUnique/>
      </w:docPartObj>
    </w:sdtPr>
    <w:sdtEndPr>
      <w:rPr>
        <w:rStyle w:val="PageNumber"/>
      </w:rPr>
    </w:sdtEndPr>
    <w:sdtContent>
      <w:p w14:paraId="065A6F41" w14:textId="589B3BE8" w:rsidR="00BA028A" w:rsidRDefault="00BA028A" w:rsidP="00F0254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D6D333" w14:textId="77777777" w:rsidR="00BA028A" w:rsidRDefault="00BA028A" w:rsidP="00BA028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0199572"/>
      <w:docPartObj>
        <w:docPartGallery w:val="Page Numbers (Top of Page)"/>
        <w:docPartUnique/>
      </w:docPartObj>
    </w:sdtPr>
    <w:sdtEndPr>
      <w:rPr>
        <w:rStyle w:val="PageNumber"/>
      </w:rPr>
    </w:sdtEndPr>
    <w:sdtContent>
      <w:p w14:paraId="14744D1F" w14:textId="5B9D35FD" w:rsidR="00BA028A" w:rsidRDefault="00BA028A" w:rsidP="00F0254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87BE1CD" w14:textId="75A2EF84" w:rsidR="00BA028A" w:rsidRDefault="00BA028A" w:rsidP="00BA028A">
    <w:pPr>
      <w:pStyle w:val="Header"/>
      <w:ind w:right="360"/>
    </w:pPr>
    <w:r>
      <w:t>Discerning the Body</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14947"/>
    <w:multiLevelType w:val="hybridMultilevel"/>
    <w:tmpl w:val="DCA6555A"/>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 w15:restartNumberingAfterBreak="0">
    <w:nsid w:val="0330017E"/>
    <w:multiLevelType w:val="hybridMultilevel"/>
    <w:tmpl w:val="B48CE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96D89"/>
    <w:multiLevelType w:val="hybridMultilevel"/>
    <w:tmpl w:val="BA328A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20FFD"/>
    <w:multiLevelType w:val="hybridMultilevel"/>
    <w:tmpl w:val="D3C23E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203537"/>
    <w:multiLevelType w:val="hybridMultilevel"/>
    <w:tmpl w:val="60AE6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728C"/>
    <w:multiLevelType w:val="hybridMultilevel"/>
    <w:tmpl w:val="7ED05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97BDA"/>
    <w:multiLevelType w:val="hybridMultilevel"/>
    <w:tmpl w:val="64AA2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6D3621"/>
    <w:multiLevelType w:val="hybridMultilevel"/>
    <w:tmpl w:val="06F2C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B83406"/>
    <w:multiLevelType w:val="hybridMultilevel"/>
    <w:tmpl w:val="993C3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BE2C3E"/>
    <w:multiLevelType w:val="hybridMultilevel"/>
    <w:tmpl w:val="F89AB0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FA15B0"/>
    <w:multiLevelType w:val="hybridMultilevel"/>
    <w:tmpl w:val="D59EB97E"/>
    <w:lvl w:ilvl="0" w:tplc="D9B824AA">
      <w:start w:val="1"/>
      <w:numFmt w:val="upperLetter"/>
      <w:lvlText w:val="%1."/>
      <w:lvlJc w:val="left"/>
      <w:pPr>
        <w:ind w:left="720" w:hanging="360"/>
      </w:pPr>
      <w:rPr>
        <w:rFonts w:ascii="Garamond" w:hAnsi="Garamond"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8022BC"/>
    <w:multiLevelType w:val="hybridMultilevel"/>
    <w:tmpl w:val="7A64E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9E21D1"/>
    <w:multiLevelType w:val="hybridMultilevel"/>
    <w:tmpl w:val="2C96D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826240"/>
    <w:multiLevelType w:val="multilevel"/>
    <w:tmpl w:val="DD92EB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3"/>
  </w:num>
  <w:num w:numId="3">
    <w:abstractNumId w:val="11"/>
  </w:num>
  <w:num w:numId="4">
    <w:abstractNumId w:val="8"/>
  </w:num>
  <w:num w:numId="5">
    <w:abstractNumId w:val="0"/>
  </w:num>
  <w:num w:numId="6">
    <w:abstractNumId w:val="6"/>
  </w:num>
  <w:num w:numId="7">
    <w:abstractNumId w:val="5"/>
  </w:num>
  <w:num w:numId="8">
    <w:abstractNumId w:val="12"/>
  </w:num>
  <w:num w:numId="9">
    <w:abstractNumId w:val="7"/>
  </w:num>
  <w:num w:numId="10">
    <w:abstractNumId w:val="4"/>
  </w:num>
  <w:num w:numId="11">
    <w:abstractNumId w:val="2"/>
  </w:num>
  <w:num w:numId="12">
    <w:abstractNumId w:val="1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F3"/>
    <w:rsid w:val="000010F3"/>
    <w:rsid w:val="00020052"/>
    <w:rsid w:val="00042FBA"/>
    <w:rsid w:val="0006732D"/>
    <w:rsid w:val="000751F6"/>
    <w:rsid w:val="000855C5"/>
    <w:rsid w:val="000C3ACD"/>
    <w:rsid w:val="001140CC"/>
    <w:rsid w:val="00136E57"/>
    <w:rsid w:val="001533E3"/>
    <w:rsid w:val="00165E33"/>
    <w:rsid w:val="00186914"/>
    <w:rsid w:val="001B28E6"/>
    <w:rsid w:val="001D5B6B"/>
    <w:rsid w:val="00212D64"/>
    <w:rsid w:val="00234A4E"/>
    <w:rsid w:val="0028153D"/>
    <w:rsid w:val="0035788F"/>
    <w:rsid w:val="003669B2"/>
    <w:rsid w:val="003868F4"/>
    <w:rsid w:val="003A645D"/>
    <w:rsid w:val="003B1291"/>
    <w:rsid w:val="0046221A"/>
    <w:rsid w:val="0047005C"/>
    <w:rsid w:val="004A6C10"/>
    <w:rsid w:val="004B1D43"/>
    <w:rsid w:val="004B7D26"/>
    <w:rsid w:val="005B336F"/>
    <w:rsid w:val="005E6612"/>
    <w:rsid w:val="005F3472"/>
    <w:rsid w:val="00611FD9"/>
    <w:rsid w:val="00643E7B"/>
    <w:rsid w:val="00672A23"/>
    <w:rsid w:val="006847B1"/>
    <w:rsid w:val="006A539C"/>
    <w:rsid w:val="00717070"/>
    <w:rsid w:val="00721FC7"/>
    <w:rsid w:val="0077204E"/>
    <w:rsid w:val="00777357"/>
    <w:rsid w:val="007C3755"/>
    <w:rsid w:val="007D0664"/>
    <w:rsid w:val="007D32C0"/>
    <w:rsid w:val="00815445"/>
    <w:rsid w:val="00820281"/>
    <w:rsid w:val="008F4F4D"/>
    <w:rsid w:val="00946122"/>
    <w:rsid w:val="0095270A"/>
    <w:rsid w:val="00965AAA"/>
    <w:rsid w:val="009769AD"/>
    <w:rsid w:val="00983964"/>
    <w:rsid w:val="00992F38"/>
    <w:rsid w:val="00A02508"/>
    <w:rsid w:val="00A86541"/>
    <w:rsid w:val="00A93933"/>
    <w:rsid w:val="00A967DD"/>
    <w:rsid w:val="00AD3DB4"/>
    <w:rsid w:val="00AF0A59"/>
    <w:rsid w:val="00B04BF8"/>
    <w:rsid w:val="00B10EE0"/>
    <w:rsid w:val="00B2290C"/>
    <w:rsid w:val="00B66A33"/>
    <w:rsid w:val="00B76E06"/>
    <w:rsid w:val="00B92D84"/>
    <w:rsid w:val="00B973D7"/>
    <w:rsid w:val="00BA028A"/>
    <w:rsid w:val="00BC0BD6"/>
    <w:rsid w:val="00BD28C3"/>
    <w:rsid w:val="00BE533E"/>
    <w:rsid w:val="00BF467B"/>
    <w:rsid w:val="00C04B9F"/>
    <w:rsid w:val="00C202C6"/>
    <w:rsid w:val="00C400F4"/>
    <w:rsid w:val="00C65767"/>
    <w:rsid w:val="00CB2B8F"/>
    <w:rsid w:val="00D1419D"/>
    <w:rsid w:val="00D158CA"/>
    <w:rsid w:val="00D179F6"/>
    <w:rsid w:val="00D571AA"/>
    <w:rsid w:val="00D95D3F"/>
    <w:rsid w:val="00E17486"/>
    <w:rsid w:val="00E226B0"/>
    <w:rsid w:val="00EC4D89"/>
    <w:rsid w:val="00ED6277"/>
    <w:rsid w:val="00F0572F"/>
    <w:rsid w:val="00F26B6D"/>
    <w:rsid w:val="00F445C4"/>
    <w:rsid w:val="00F50579"/>
    <w:rsid w:val="00F651C6"/>
    <w:rsid w:val="00FC3107"/>
    <w:rsid w:val="00FE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8D5D"/>
  <w15:chartTrackingRefBased/>
  <w15:docId w15:val="{9B79817A-31BD-3E42-A5FF-87DD001A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0F3"/>
    <w:pPr>
      <w:ind w:left="720"/>
      <w:contextualSpacing/>
    </w:pPr>
  </w:style>
  <w:style w:type="paragraph" w:styleId="FootnoteText">
    <w:name w:val="footnote text"/>
    <w:basedOn w:val="Normal"/>
    <w:link w:val="FootnoteTextChar"/>
    <w:uiPriority w:val="99"/>
    <w:semiHidden/>
    <w:unhideWhenUsed/>
    <w:rsid w:val="00820281"/>
    <w:rPr>
      <w:sz w:val="20"/>
      <w:szCs w:val="20"/>
    </w:rPr>
  </w:style>
  <w:style w:type="character" w:customStyle="1" w:styleId="FootnoteTextChar">
    <w:name w:val="Footnote Text Char"/>
    <w:basedOn w:val="DefaultParagraphFont"/>
    <w:link w:val="FootnoteText"/>
    <w:uiPriority w:val="99"/>
    <w:semiHidden/>
    <w:rsid w:val="00820281"/>
    <w:rPr>
      <w:sz w:val="20"/>
      <w:szCs w:val="20"/>
    </w:rPr>
  </w:style>
  <w:style w:type="character" w:styleId="FootnoteReference">
    <w:name w:val="footnote reference"/>
    <w:basedOn w:val="DefaultParagraphFont"/>
    <w:unhideWhenUsed/>
    <w:qFormat/>
    <w:rsid w:val="00820281"/>
    <w:rPr>
      <w:vertAlign w:val="superscript"/>
    </w:rPr>
  </w:style>
  <w:style w:type="paragraph" w:styleId="NormalWeb">
    <w:name w:val="Normal (Web)"/>
    <w:basedOn w:val="Normal"/>
    <w:uiPriority w:val="99"/>
    <w:unhideWhenUsed/>
    <w:rsid w:val="00992F3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D179F6"/>
    <w:rPr>
      <w:color w:val="0563C1" w:themeColor="hyperlink"/>
      <w:u w:val="single"/>
    </w:rPr>
  </w:style>
  <w:style w:type="character" w:styleId="UnresolvedMention">
    <w:name w:val="Unresolved Mention"/>
    <w:basedOn w:val="DefaultParagraphFont"/>
    <w:uiPriority w:val="99"/>
    <w:semiHidden/>
    <w:unhideWhenUsed/>
    <w:rsid w:val="00D179F6"/>
    <w:rPr>
      <w:color w:val="605E5C"/>
      <w:shd w:val="clear" w:color="auto" w:fill="E1DFDD"/>
    </w:rPr>
  </w:style>
  <w:style w:type="paragraph" w:styleId="Header">
    <w:name w:val="header"/>
    <w:basedOn w:val="Normal"/>
    <w:link w:val="HeaderChar"/>
    <w:uiPriority w:val="99"/>
    <w:unhideWhenUsed/>
    <w:rsid w:val="00BA028A"/>
    <w:pPr>
      <w:tabs>
        <w:tab w:val="center" w:pos="4513"/>
        <w:tab w:val="right" w:pos="9026"/>
      </w:tabs>
    </w:pPr>
  </w:style>
  <w:style w:type="character" w:customStyle="1" w:styleId="HeaderChar">
    <w:name w:val="Header Char"/>
    <w:basedOn w:val="DefaultParagraphFont"/>
    <w:link w:val="Header"/>
    <w:uiPriority w:val="99"/>
    <w:rsid w:val="00BA028A"/>
  </w:style>
  <w:style w:type="paragraph" w:styleId="Footer">
    <w:name w:val="footer"/>
    <w:basedOn w:val="Normal"/>
    <w:link w:val="FooterChar"/>
    <w:uiPriority w:val="99"/>
    <w:unhideWhenUsed/>
    <w:rsid w:val="00BA028A"/>
    <w:pPr>
      <w:tabs>
        <w:tab w:val="center" w:pos="4513"/>
        <w:tab w:val="right" w:pos="9026"/>
      </w:tabs>
    </w:pPr>
  </w:style>
  <w:style w:type="character" w:customStyle="1" w:styleId="FooterChar">
    <w:name w:val="Footer Char"/>
    <w:basedOn w:val="DefaultParagraphFont"/>
    <w:link w:val="Footer"/>
    <w:uiPriority w:val="99"/>
    <w:rsid w:val="00BA028A"/>
  </w:style>
  <w:style w:type="character" w:styleId="PageNumber">
    <w:name w:val="page number"/>
    <w:basedOn w:val="DefaultParagraphFont"/>
    <w:uiPriority w:val="99"/>
    <w:semiHidden/>
    <w:unhideWhenUsed/>
    <w:rsid w:val="00BA0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105722">
      <w:bodyDiv w:val="1"/>
      <w:marLeft w:val="0"/>
      <w:marRight w:val="0"/>
      <w:marTop w:val="0"/>
      <w:marBottom w:val="0"/>
      <w:divBdr>
        <w:top w:val="none" w:sz="0" w:space="0" w:color="auto"/>
        <w:left w:val="none" w:sz="0" w:space="0" w:color="auto"/>
        <w:bottom w:val="none" w:sz="0" w:space="0" w:color="auto"/>
        <w:right w:val="none" w:sz="0" w:space="0" w:color="auto"/>
      </w:divBdr>
      <w:divsChild>
        <w:div w:id="1786383880">
          <w:marLeft w:val="0"/>
          <w:marRight w:val="0"/>
          <w:marTop w:val="0"/>
          <w:marBottom w:val="0"/>
          <w:divBdr>
            <w:top w:val="none" w:sz="0" w:space="0" w:color="auto"/>
            <w:left w:val="none" w:sz="0" w:space="0" w:color="auto"/>
            <w:bottom w:val="none" w:sz="0" w:space="0" w:color="auto"/>
            <w:right w:val="none" w:sz="0" w:space="0" w:color="auto"/>
          </w:divBdr>
          <w:divsChild>
            <w:div w:id="483281714">
              <w:marLeft w:val="0"/>
              <w:marRight w:val="0"/>
              <w:marTop w:val="0"/>
              <w:marBottom w:val="0"/>
              <w:divBdr>
                <w:top w:val="none" w:sz="0" w:space="0" w:color="auto"/>
                <w:left w:val="none" w:sz="0" w:space="0" w:color="auto"/>
                <w:bottom w:val="none" w:sz="0" w:space="0" w:color="auto"/>
                <w:right w:val="none" w:sz="0" w:space="0" w:color="auto"/>
              </w:divBdr>
              <w:divsChild>
                <w:div w:id="11806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34435">
      <w:bodyDiv w:val="1"/>
      <w:marLeft w:val="0"/>
      <w:marRight w:val="0"/>
      <w:marTop w:val="0"/>
      <w:marBottom w:val="0"/>
      <w:divBdr>
        <w:top w:val="none" w:sz="0" w:space="0" w:color="auto"/>
        <w:left w:val="none" w:sz="0" w:space="0" w:color="auto"/>
        <w:bottom w:val="none" w:sz="0" w:space="0" w:color="auto"/>
        <w:right w:val="none" w:sz="0" w:space="0" w:color="auto"/>
      </w:divBdr>
      <w:divsChild>
        <w:div w:id="1916089660">
          <w:marLeft w:val="0"/>
          <w:marRight w:val="0"/>
          <w:marTop w:val="0"/>
          <w:marBottom w:val="0"/>
          <w:divBdr>
            <w:top w:val="none" w:sz="0" w:space="0" w:color="auto"/>
            <w:left w:val="none" w:sz="0" w:space="0" w:color="auto"/>
            <w:bottom w:val="none" w:sz="0" w:space="0" w:color="auto"/>
            <w:right w:val="none" w:sz="0" w:space="0" w:color="auto"/>
          </w:divBdr>
          <w:divsChild>
            <w:div w:id="337778222">
              <w:marLeft w:val="0"/>
              <w:marRight w:val="0"/>
              <w:marTop w:val="0"/>
              <w:marBottom w:val="0"/>
              <w:divBdr>
                <w:top w:val="none" w:sz="0" w:space="0" w:color="auto"/>
                <w:left w:val="none" w:sz="0" w:space="0" w:color="auto"/>
                <w:bottom w:val="none" w:sz="0" w:space="0" w:color="auto"/>
                <w:right w:val="none" w:sz="0" w:space="0" w:color="auto"/>
              </w:divBdr>
              <w:divsChild>
                <w:div w:id="16329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14320">
      <w:bodyDiv w:val="1"/>
      <w:marLeft w:val="0"/>
      <w:marRight w:val="0"/>
      <w:marTop w:val="0"/>
      <w:marBottom w:val="0"/>
      <w:divBdr>
        <w:top w:val="none" w:sz="0" w:space="0" w:color="auto"/>
        <w:left w:val="none" w:sz="0" w:space="0" w:color="auto"/>
        <w:bottom w:val="none" w:sz="0" w:space="0" w:color="auto"/>
        <w:right w:val="none" w:sz="0" w:space="0" w:color="auto"/>
      </w:divBdr>
      <w:divsChild>
        <w:div w:id="57289740">
          <w:marLeft w:val="0"/>
          <w:marRight w:val="0"/>
          <w:marTop w:val="0"/>
          <w:marBottom w:val="0"/>
          <w:divBdr>
            <w:top w:val="none" w:sz="0" w:space="0" w:color="auto"/>
            <w:left w:val="none" w:sz="0" w:space="0" w:color="auto"/>
            <w:bottom w:val="none" w:sz="0" w:space="0" w:color="auto"/>
            <w:right w:val="none" w:sz="0" w:space="0" w:color="auto"/>
          </w:divBdr>
          <w:divsChild>
            <w:div w:id="1862158962">
              <w:marLeft w:val="0"/>
              <w:marRight w:val="0"/>
              <w:marTop w:val="0"/>
              <w:marBottom w:val="0"/>
              <w:divBdr>
                <w:top w:val="none" w:sz="0" w:space="0" w:color="auto"/>
                <w:left w:val="none" w:sz="0" w:space="0" w:color="auto"/>
                <w:bottom w:val="none" w:sz="0" w:space="0" w:color="auto"/>
                <w:right w:val="none" w:sz="0" w:space="0" w:color="auto"/>
              </w:divBdr>
              <w:divsChild>
                <w:div w:id="3396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43891">
      <w:bodyDiv w:val="1"/>
      <w:marLeft w:val="0"/>
      <w:marRight w:val="0"/>
      <w:marTop w:val="0"/>
      <w:marBottom w:val="0"/>
      <w:divBdr>
        <w:top w:val="none" w:sz="0" w:space="0" w:color="auto"/>
        <w:left w:val="none" w:sz="0" w:space="0" w:color="auto"/>
        <w:bottom w:val="none" w:sz="0" w:space="0" w:color="auto"/>
        <w:right w:val="none" w:sz="0" w:space="0" w:color="auto"/>
      </w:divBdr>
      <w:divsChild>
        <w:div w:id="660621590">
          <w:marLeft w:val="0"/>
          <w:marRight w:val="0"/>
          <w:marTop w:val="0"/>
          <w:marBottom w:val="0"/>
          <w:divBdr>
            <w:top w:val="none" w:sz="0" w:space="0" w:color="auto"/>
            <w:left w:val="none" w:sz="0" w:space="0" w:color="auto"/>
            <w:bottom w:val="none" w:sz="0" w:space="0" w:color="auto"/>
            <w:right w:val="none" w:sz="0" w:space="0" w:color="auto"/>
          </w:divBdr>
          <w:divsChild>
            <w:div w:id="235672281">
              <w:marLeft w:val="0"/>
              <w:marRight w:val="0"/>
              <w:marTop w:val="0"/>
              <w:marBottom w:val="0"/>
              <w:divBdr>
                <w:top w:val="none" w:sz="0" w:space="0" w:color="auto"/>
                <w:left w:val="none" w:sz="0" w:space="0" w:color="auto"/>
                <w:bottom w:val="none" w:sz="0" w:space="0" w:color="auto"/>
                <w:right w:val="none" w:sz="0" w:space="0" w:color="auto"/>
              </w:divBdr>
              <w:divsChild>
                <w:div w:id="154409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c.alexander@sheffield.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abc.net.au/religion/hebrew-bible-worship-in-exile-as-essential-service/12102306?fbclid=IwAR2oCMhx0YyIP_r7SVfY2tRGpycGETtkOzWMhS2Sh0wqPrRclw-SY1nAN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2258</Words>
  <Characters>12871</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Loveday Alexander</dc:creator>
  <cp:keywords/>
  <dc:description/>
  <cp:lastModifiedBy>Betsy Jutras</cp:lastModifiedBy>
  <cp:revision>2</cp:revision>
  <dcterms:created xsi:type="dcterms:W3CDTF">2020-11-30T13:36:00Z</dcterms:created>
  <dcterms:modified xsi:type="dcterms:W3CDTF">2020-11-30T13:36:00Z</dcterms:modified>
</cp:coreProperties>
</file>